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56" w:rsidRDefault="00AA6856" w:rsidP="00AA6856">
      <w:pPr>
        <w:jc w:val="center"/>
        <w:rPr>
          <w:rFonts w:ascii="仿宋_GB2312" w:eastAsia="仿宋_GB2312" w:hint="eastAsia"/>
          <w:b/>
          <w:sz w:val="30"/>
          <w:szCs w:val="30"/>
        </w:rPr>
      </w:pPr>
    </w:p>
    <w:p w:rsidR="00AA6856" w:rsidRDefault="00AA6856" w:rsidP="00AA6856">
      <w:pPr>
        <w:jc w:val="center"/>
        <w:rPr>
          <w:rFonts w:ascii="仿宋_GB2312" w:eastAsia="仿宋_GB2312"/>
          <w:b/>
          <w:sz w:val="30"/>
          <w:szCs w:val="30"/>
        </w:rPr>
      </w:pPr>
    </w:p>
    <w:p w:rsidR="00AA6856" w:rsidRPr="00AA6856" w:rsidRDefault="00AA6856" w:rsidP="00AA6856">
      <w:pPr>
        <w:jc w:val="center"/>
        <w:rPr>
          <w:rFonts w:ascii="仿宋_GB2312" w:eastAsia="仿宋_GB2312" w:hAnsi="Calibri" w:cs="Times New Roman"/>
          <w:sz w:val="36"/>
          <w:szCs w:val="36"/>
        </w:rPr>
      </w:pPr>
      <w:r w:rsidRPr="00AA6856">
        <w:rPr>
          <w:rFonts w:ascii="仿宋_GB2312" w:eastAsia="仿宋_GB2312" w:hAnsi="Calibri" w:cs="Times New Roman" w:hint="eastAsia"/>
          <w:b/>
          <w:sz w:val="36"/>
          <w:szCs w:val="36"/>
        </w:rPr>
        <w:t>2015年教育部外国教材中心研究项目</w:t>
      </w:r>
    </w:p>
    <w:p w:rsidR="00AA6856" w:rsidRPr="00AA6856" w:rsidRDefault="00AA6856" w:rsidP="009B6E7F">
      <w:pPr>
        <w:jc w:val="center"/>
        <w:rPr>
          <w:rFonts w:ascii="仿宋_GB2312" w:eastAsia="仿宋_GB2312"/>
          <w:sz w:val="30"/>
          <w:szCs w:val="30"/>
        </w:rPr>
      </w:pPr>
    </w:p>
    <w:p w:rsidR="00AA6856" w:rsidRDefault="00AA6856" w:rsidP="009B6E7F">
      <w:pPr>
        <w:jc w:val="center"/>
        <w:rPr>
          <w:rFonts w:ascii="仿宋_GB2312" w:eastAsia="仿宋_GB2312"/>
          <w:sz w:val="30"/>
          <w:szCs w:val="30"/>
        </w:rPr>
      </w:pPr>
    </w:p>
    <w:p w:rsidR="00AA6856" w:rsidRPr="00AA6856" w:rsidRDefault="009B6E7F" w:rsidP="009B6E7F">
      <w:pPr>
        <w:jc w:val="center"/>
        <w:rPr>
          <w:rFonts w:ascii="仿宋_GB2312" w:eastAsia="仿宋_GB2312"/>
          <w:b/>
          <w:sz w:val="30"/>
          <w:szCs w:val="30"/>
        </w:rPr>
      </w:pPr>
      <w:r w:rsidRPr="00AA6856">
        <w:rPr>
          <w:rFonts w:ascii="仿宋_GB2312" w:eastAsia="仿宋_GB2312" w:hint="eastAsia"/>
          <w:b/>
          <w:sz w:val="30"/>
          <w:szCs w:val="30"/>
        </w:rPr>
        <w:t>“</w:t>
      </w:r>
      <w:r w:rsidRPr="00AA6856">
        <w:rPr>
          <w:rFonts w:ascii="仿宋_GB2312" w:eastAsia="仿宋_GB2312" w:hAnsi="Calibri" w:cs="Times New Roman" w:hint="eastAsia"/>
          <w:b/>
          <w:sz w:val="30"/>
          <w:szCs w:val="30"/>
        </w:rPr>
        <w:t>农业高校原版电子图书/教材建设研究</w:t>
      </w:r>
      <w:r w:rsidRPr="00AA6856">
        <w:rPr>
          <w:rFonts w:ascii="仿宋_GB2312" w:eastAsia="仿宋_GB2312" w:hint="eastAsia"/>
          <w:b/>
          <w:sz w:val="30"/>
          <w:szCs w:val="30"/>
        </w:rPr>
        <w:t>”</w:t>
      </w:r>
    </w:p>
    <w:p w:rsidR="00AD2B04" w:rsidRPr="00AA6856" w:rsidRDefault="00AA6856" w:rsidP="009B6E7F">
      <w:pPr>
        <w:jc w:val="center"/>
        <w:rPr>
          <w:rFonts w:ascii="仿宋_GB2312" w:eastAsia="仿宋_GB2312"/>
          <w:b/>
          <w:sz w:val="30"/>
          <w:szCs w:val="30"/>
        </w:rPr>
      </w:pPr>
      <w:r w:rsidRPr="00AA6856">
        <w:rPr>
          <w:rFonts w:ascii="仿宋_GB2312" w:eastAsia="仿宋_GB2312" w:hint="eastAsia"/>
          <w:b/>
          <w:sz w:val="30"/>
          <w:szCs w:val="30"/>
        </w:rPr>
        <w:t>结题</w:t>
      </w:r>
      <w:r w:rsidR="009B6E7F" w:rsidRPr="00AA6856">
        <w:rPr>
          <w:rFonts w:ascii="仿宋_GB2312" w:eastAsia="仿宋_GB2312" w:hint="eastAsia"/>
          <w:b/>
          <w:sz w:val="30"/>
          <w:szCs w:val="30"/>
        </w:rPr>
        <w:t>报告</w:t>
      </w:r>
    </w:p>
    <w:p w:rsidR="009B6E7F" w:rsidRDefault="009B6E7F">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Pr="00F662D8"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Default="00AA6856">
      <w:pPr>
        <w:rPr>
          <w:rFonts w:ascii="仿宋_GB2312" w:eastAsia="仿宋_GB2312"/>
          <w:sz w:val="30"/>
          <w:szCs w:val="30"/>
        </w:rPr>
      </w:pPr>
    </w:p>
    <w:p w:rsidR="00AA6856" w:rsidRPr="00AA6856" w:rsidRDefault="00AA6856" w:rsidP="00AA6856">
      <w:pPr>
        <w:jc w:val="center"/>
        <w:rPr>
          <w:rFonts w:ascii="仿宋_GB2312" w:eastAsia="仿宋_GB2312" w:hAnsi="Calibri" w:cs="Times New Roman"/>
          <w:b/>
          <w:sz w:val="30"/>
          <w:szCs w:val="30"/>
        </w:rPr>
      </w:pPr>
      <w:r w:rsidRPr="00AA6856">
        <w:rPr>
          <w:rFonts w:ascii="仿宋_GB2312" w:eastAsia="仿宋_GB2312" w:hAnsi="Calibri" w:cs="Times New Roman" w:hint="eastAsia"/>
          <w:b/>
          <w:sz w:val="30"/>
          <w:szCs w:val="30"/>
        </w:rPr>
        <w:t>教育部中国农业大学图书馆外国教材中心</w:t>
      </w:r>
    </w:p>
    <w:p w:rsidR="00116C9B" w:rsidRDefault="00AA6856" w:rsidP="00D059E6">
      <w:pPr>
        <w:jc w:val="center"/>
        <w:rPr>
          <w:rFonts w:ascii="仿宋_GB2312" w:eastAsia="仿宋_GB2312"/>
          <w:b/>
          <w:sz w:val="30"/>
          <w:szCs w:val="30"/>
        </w:rPr>
      </w:pPr>
      <w:r w:rsidRPr="00AA6856">
        <w:rPr>
          <w:rFonts w:ascii="仿宋_GB2312" w:eastAsia="仿宋_GB2312" w:hint="eastAsia"/>
          <w:b/>
          <w:sz w:val="30"/>
          <w:szCs w:val="30"/>
        </w:rPr>
        <w:t>2016年3月</w:t>
      </w:r>
      <w:bookmarkStart w:id="0" w:name="_Toc280543944"/>
    </w:p>
    <w:p w:rsidR="00D059E6" w:rsidRDefault="00D059E6" w:rsidP="00D059E6">
      <w:pPr>
        <w:rPr>
          <w:rFonts w:ascii="仿宋_GB2312" w:eastAsia="仿宋_GB2312"/>
          <w:b/>
          <w:sz w:val="30"/>
          <w:szCs w:val="30"/>
        </w:rPr>
      </w:pPr>
    </w:p>
    <w:p w:rsidR="00D059E6" w:rsidRDefault="00D059E6" w:rsidP="00D059E6">
      <w:pPr>
        <w:rPr>
          <w:rFonts w:ascii="仿宋_GB2312" w:eastAsia="仿宋_GB2312"/>
          <w:b/>
          <w:sz w:val="30"/>
          <w:szCs w:val="30"/>
        </w:rPr>
      </w:pPr>
    </w:p>
    <w:p w:rsidR="003F3FCA" w:rsidRPr="00D522AF" w:rsidRDefault="003F3FCA" w:rsidP="003D60EE">
      <w:pPr>
        <w:pStyle w:val="1"/>
        <w:adjustRightInd w:val="0"/>
        <w:snapToGrid w:val="0"/>
        <w:spacing w:before="0" w:after="0" w:line="360" w:lineRule="auto"/>
      </w:pPr>
      <w:r w:rsidRPr="00D522AF">
        <w:rPr>
          <w:rFonts w:hint="eastAsia"/>
        </w:rPr>
        <w:lastRenderedPageBreak/>
        <w:t>1</w:t>
      </w:r>
      <w:r w:rsidRPr="00D522AF">
        <w:rPr>
          <w:rFonts w:hint="eastAsia"/>
        </w:rPr>
        <w:t>．引言</w:t>
      </w:r>
      <w:bookmarkEnd w:id="0"/>
    </w:p>
    <w:p w:rsidR="003F3FCA" w:rsidRPr="00D522AF" w:rsidRDefault="003F3FCA" w:rsidP="003D60EE">
      <w:pPr>
        <w:pStyle w:val="2"/>
        <w:adjustRightInd w:val="0"/>
        <w:snapToGrid w:val="0"/>
        <w:spacing w:before="0" w:after="0" w:line="360" w:lineRule="auto"/>
      </w:pPr>
      <w:bookmarkStart w:id="1" w:name="_Toc280543945"/>
      <w:r w:rsidRPr="00D522AF">
        <w:rPr>
          <w:rFonts w:hint="eastAsia"/>
        </w:rPr>
        <w:t xml:space="preserve">1.1 </w:t>
      </w:r>
      <w:r w:rsidRPr="00D522AF">
        <w:rPr>
          <w:rFonts w:hint="eastAsia"/>
        </w:rPr>
        <w:t>研究背景</w:t>
      </w:r>
      <w:bookmarkEnd w:id="1"/>
    </w:p>
    <w:p w:rsidR="00900CFF" w:rsidRPr="007372CE" w:rsidRDefault="00900CFF" w:rsidP="003D60EE">
      <w:pPr>
        <w:autoSpaceDE w:val="0"/>
        <w:autoSpaceDN w:val="0"/>
        <w:adjustRightInd w:val="0"/>
        <w:snapToGrid w:val="0"/>
        <w:spacing w:line="360" w:lineRule="auto"/>
        <w:ind w:firstLineChars="200" w:firstLine="420"/>
        <w:rPr>
          <w:rFonts w:ascii="楷体_GB2312" w:eastAsia="楷体_GB2312" w:hAnsi="Calibri" w:cs="Times New Roman"/>
          <w:szCs w:val="21"/>
        </w:rPr>
      </w:pPr>
      <w:r w:rsidRPr="007372CE">
        <w:rPr>
          <w:rFonts w:ascii="楷体_GB2312" w:eastAsia="楷体_GB2312" w:hAnsi="Calibri" w:cs="Times New Roman" w:hint="eastAsia"/>
          <w:color w:val="000000"/>
          <w:szCs w:val="21"/>
        </w:rPr>
        <w:t>教材建设一直高校教学工作中的关键环节，是高校学科建设中的重要部分，更是提高高校教学质量和师资水平,培养创新高等教育人才的重要保证。引进原版教材，借鉴发达国家的优质教学经验与教学资源则是高校教材建设中的一项重要内容。</w:t>
      </w:r>
      <w:r w:rsidRPr="007372CE">
        <w:rPr>
          <w:rFonts w:ascii="楷体_GB2312" w:eastAsia="楷体_GB2312" w:hAnsi="Calibri" w:cs="Times New Roman" w:hint="eastAsia"/>
          <w:szCs w:val="21"/>
        </w:rPr>
        <w:t>随着农业高等教育规模的迅速扩大以及图书馆文献购置经费的增长，农业高校图书馆馆藏资源也呈增长趋势，集中反映在大量电子文献资源的购买与引进，其中外文电子期刊和数据库在电子资源建设工作开展的早期占了绝大比例；而近年来原版电子图书/教材则越来越引起各馆的重视。与传统的印刷型原版图书/教材的引进工作相比较，原版电子图书/教材的引进工作特点有以下两个方面的变化：</w:t>
      </w:r>
    </w:p>
    <w:p w:rsidR="00900CFF" w:rsidRPr="007372CE" w:rsidRDefault="00900CFF" w:rsidP="003D60EE">
      <w:pPr>
        <w:numPr>
          <w:ilvl w:val="0"/>
          <w:numId w:val="1"/>
        </w:numPr>
        <w:autoSpaceDE w:val="0"/>
        <w:autoSpaceDN w:val="0"/>
        <w:adjustRightInd w:val="0"/>
        <w:snapToGrid w:val="0"/>
        <w:spacing w:line="360" w:lineRule="auto"/>
        <w:ind w:left="709" w:hanging="567"/>
        <w:rPr>
          <w:rFonts w:ascii="楷体_GB2312" w:eastAsia="楷体_GB2312" w:hAnsi="Calibri" w:cs="Times New Roman"/>
          <w:szCs w:val="21"/>
        </w:rPr>
      </w:pPr>
      <w:r w:rsidRPr="007372CE">
        <w:rPr>
          <w:rFonts w:ascii="楷体_GB2312" w:eastAsia="楷体_GB2312" w:hAnsi="Calibri" w:cs="Times New Roman" w:hint="eastAsia"/>
          <w:szCs w:val="21"/>
        </w:rPr>
        <w:t>引进方式发生变化：从内容上看，引进原版电子图书/教材存在着相对集中的现象，这种集中主要体现在出版社的集中、学科的集中以及出版时间的集中等方面；而从数量上看，引进原版教材必须是具有一定规模的，一次性引进的数量相对较大，才能保证该资源的有效使用。</w:t>
      </w:r>
    </w:p>
    <w:p w:rsidR="00900CFF" w:rsidRPr="007372CE" w:rsidRDefault="00900CFF" w:rsidP="003D60EE">
      <w:pPr>
        <w:numPr>
          <w:ilvl w:val="0"/>
          <w:numId w:val="1"/>
        </w:numPr>
        <w:autoSpaceDE w:val="0"/>
        <w:autoSpaceDN w:val="0"/>
        <w:adjustRightInd w:val="0"/>
        <w:snapToGrid w:val="0"/>
        <w:spacing w:line="360" w:lineRule="auto"/>
        <w:ind w:left="709" w:hanging="567"/>
        <w:rPr>
          <w:rFonts w:ascii="楷体_GB2312" w:eastAsia="楷体_GB2312" w:hAnsi="Calibri" w:cs="Times New Roman"/>
          <w:szCs w:val="21"/>
        </w:rPr>
      </w:pPr>
      <w:r w:rsidRPr="007372CE">
        <w:rPr>
          <w:rFonts w:ascii="楷体_GB2312" w:eastAsia="楷体_GB2312" w:hAnsi="Calibri" w:cs="Times New Roman" w:hint="eastAsia"/>
          <w:szCs w:val="21"/>
        </w:rPr>
        <w:t>管理与服务方式发生变化：引进的原版电子图书/教材在管理上比印刷版图书要方便简洁很多，不用进行图书的加工、编目、上架、流通借阅等传统工序，所以会节省很多的人力投入。此时，需要加强的则是通过各种渠道加大引进资源的宣传与服务力度，提高引进资源的使用效果。</w:t>
      </w:r>
    </w:p>
    <w:p w:rsidR="00900CFF" w:rsidRPr="007372CE" w:rsidRDefault="00900CFF" w:rsidP="003D60EE">
      <w:pPr>
        <w:autoSpaceDE w:val="0"/>
        <w:autoSpaceDN w:val="0"/>
        <w:adjustRightInd w:val="0"/>
        <w:snapToGrid w:val="0"/>
        <w:spacing w:line="360" w:lineRule="auto"/>
        <w:rPr>
          <w:rFonts w:ascii="楷体_GB2312" w:eastAsia="楷体_GB2312" w:hAnsi="Calibri" w:cs="Times New Roman"/>
          <w:szCs w:val="21"/>
        </w:rPr>
      </w:pPr>
      <w:r w:rsidRPr="007372CE">
        <w:rPr>
          <w:rFonts w:ascii="楷体_GB2312" w:eastAsia="楷体_GB2312" w:hAnsi="Calibri" w:cs="Times New Roman" w:hint="eastAsia"/>
          <w:szCs w:val="21"/>
        </w:rPr>
        <w:t xml:space="preserve">    原版电子教材/图书引进工作的快速发展，已充分得到了各农业高校图书馆的重视，并在各馆资源建设工作中占据了越来越重要的地位。与此同时，各馆也在工作中面临到了相同的问题，如：如何有效地挑选最适合本校用户需求的资源内容？面对各种不同的销售模式，如何选择性价比最佳的订购方案？采用什么样的联盟方式，能够获取最优的价格优惠？如何加强资源的宣传与服务，提高资源利用效率等等。</w:t>
      </w:r>
    </w:p>
    <w:p w:rsidR="003F3FCA" w:rsidRPr="007372CE" w:rsidRDefault="00900CFF" w:rsidP="003D60EE">
      <w:pPr>
        <w:adjustRightInd w:val="0"/>
        <w:snapToGrid w:val="0"/>
        <w:spacing w:line="360" w:lineRule="auto"/>
        <w:ind w:firstLineChars="200" w:firstLine="420"/>
        <w:rPr>
          <w:rFonts w:ascii="楷体_GB2312" w:eastAsia="楷体_GB2312" w:hAnsi="Calibri" w:cs="Times New Roman"/>
          <w:szCs w:val="21"/>
        </w:rPr>
      </w:pPr>
      <w:r w:rsidRPr="007372CE">
        <w:rPr>
          <w:rFonts w:ascii="楷体_GB2312" w:eastAsia="楷体_GB2312" w:hAnsi="Calibri" w:cs="Times New Roman" w:hint="eastAsia"/>
          <w:szCs w:val="21"/>
        </w:rPr>
        <w:t>针对上述问题，本研究将在充分调研我国各农业高校原版电子图书/教材建设现状的基</w:t>
      </w:r>
      <w:bookmarkStart w:id="2" w:name="_GoBack"/>
      <w:bookmarkEnd w:id="2"/>
      <w:r w:rsidRPr="007372CE">
        <w:rPr>
          <w:rFonts w:ascii="楷体_GB2312" w:eastAsia="楷体_GB2312" w:hAnsi="Calibri" w:cs="Times New Roman" w:hint="eastAsia"/>
          <w:szCs w:val="21"/>
        </w:rPr>
        <w:t>础上，从内容、数量以及成本等多个角度进行统计分析；同时也对农业高校已开展的引进原版图书/教材工作进行案例分析。在综合统计与分析的基础上，本研究拟找出适合农业高校开展原版电子图书/教材引进工作的最佳模式，为我国农业高校开展原版电子图书/教材的建设工作提供参考依据。</w:t>
      </w:r>
    </w:p>
    <w:p w:rsidR="00900CFF" w:rsidRPr="007372CE" w:rsidRDefault="00900CFF" w:rsidP="003D60EE">
      <w:pPr>
        <w:adjustRightInd w:val="0"/>
        <w:snapToGrid w:val="0"/>
        <w:spacing w:line="360" w:lineRule="auto"/>
        <w:ind w:firstLineChars="200" w:firstLine="420"/>
        <w:rPr>
          <w:rFonts w:ascii="楷体_GB2312" w:eastAsia="楷体_GB2312" w:hAnsi="Calibri" w:cs="Times New Roman"/>
          <w:color w:val="FF0000"/>
          <w:szCs w:val="21"/>
        </w:rPr>
      </w:pPr>
      <w:r w:rsidRPr="007372CE">
        <w:rPr>
          <w:rFonts w:ascii="楷体_GB2312" w:eastAsia="楷体_GB2312" w:hint="eastAsia"/>
          <w:szCs w:val="21"/>
        </w:rPr>
        <w:t>本课题由教育部高教司资助，中国农业大学图书馆“教育部农学外国教材中心”负责实施。</w:t>
      </w:r>
    </w:p>
    <w:p w:rsidR="003F3FCA" w:rsidRPr="00D522AF" w:rsidRDefault="003F3FCA" w:rsidP="003D60EE">
      <w:pPr>
        <w:pStyle w:val="2"/>
        <w:adjustRightInd w:val="0"/>
        <w:snapToGrid w:val="0"/>
        <w:spacing w:before="0" w:after="0" w:line="360" w:lineRule="auto"/>
      </w:pPr>
      <w:bookmarkStart w:id="3" w:name="_Toc280543946"/>
      <w:r w:rsidRPr="00D522AF">
        <w:rPr>
          <w:rFonts w:hint="eastAsia"/>
        </w:rPr>
        <w:t xml:space="preserve">1.2 </w:t>
      </w:r>
      <w:r w:rsidRPr="00D522AF">
        <w:rPr>
          <w:rFonts w:hint="eastAsia"/>
        </w:rPr>
        <w:t>研究目的与意义</w:t>
      </w:r>
      <w:bookmarkEnd w:id="3"/>
    </w:p>
    <w:p w:rsidR="00900CFF" w:rsidRPr="007372CE" w:rsidRDefault="00900CFF" w:rsidP="003D60EE">
      <w:pPr>
        <w:autoSpaceDE w:val="0"/>
        <w:autoSpaceDN w:val="0"/>
        <w:adjustRightInd w:val="0"/>
        <w:snapToGrid w:val="0"/>
        <w:spacing w:line="360" w:lineRule="auto"/>
        <w:ind w:firstLineChars="200" w:firstLine="420"/>
        <w:rPr>
          <w:rFonts w:ascii="楷体_GB2312" w:eastAsia="楷体_GB2312" w:hAnsi="Calibri" w:cs="Times New Roman"/>
          <w:szCs w:val="21"/>
        </w:rPr>
      </w:pPr>
      <w:r w:rsidRPr="007372CE">
        <w:rPr>
          <w:rFonts w:ascii="楷体_GB2312" w:eastAsia="楷体_GB2312" w:hAnsi="Calibri" w:cs="Times New Roman" w:hint="eastAsia"/>
          <w:szCs w:val="21"/>
        </w:rPr>
        <w:t>本研究预期围绕农业高校引进原版电子图书/教材工作开展一系列的调研与分析，并在</w:t>
      </w:r>
      <w:r w:rsidRPr="007372CE">
        <w:rPr>
          <w:rFonts w:ascii="楷体_GB2312" w:eastAsia="楷体_GB2312" w:hAnsi="Calibri" w:cs="Times New Roman" w:hint="eastAsia"/>
          <w:szCs w:val="21"/>
        </w:rPr>
        <w:lastRenderedPageBreak/>
        <w:t>综合分析与评价的基础上，拟找出适合农业高校开展原版电子图书/教材引进工作的最佳模式，为我国农业高校开展原版电子图书/教材的建设工作提供参考依据。</w:t>
      </w:r>
    </w:p>
    <w:p w:rsidR="003F3FCA" w:rsidRPr="00D522AF" w:rsidRDefault="003F3FCA" w:rsidP="003D60EE">
      <w:pPr>
        <w:pStyle w:val="2"/>
        <w:adjustRightInd w:val="0"/>
        <w:snapToGrid w:val="0"/>
        <w:spacing w:before="0" w:after="0" w:line="360" w:lineRule="auto"/>
      </w:pPr>
      <w:bookmarkStart w:id="4" w:name="_Toc280543947"/>
      <w:r w:rsidRPr="00D522AF">
        <w:rPr>
          <w:rFonts w:hint="eastAsia"/>
        </w:rPr>
        <w:t xml:space="preserve">1.3 </w:t>
      </w:r>
      <w:r w:rsidRPr="00D522AF">
        <w:rPr>
          <w:rFonts w:hint="eastAsia"/>
        </w:rPr>
        <w:t>研究内容与范畴</w:t>
      </w:r>
      <w:bookmarkEnd w:id="4"/>
    </w:p>
    <w:p w:rsidR="00900CFF" w:rsidRPr="007372CE" w:rsidRDefault="00900CFF" w:rsidP="003D60EE">
      <w:pPr>
        <w:autoSpaceDE w:val="0"/>
        <w:autoSpaceDN w:val="0"/>
        <w:adjustRightInd w:val="0"/>
        <w:snapToGrid w:val="0"/>
        <w:spacing w:line="360" w:lineRule="auto"/>
        <w:ind w:firstLineChars="200" w:firstLine="420"/>
        <w:rPr>
          <w:rFonts w:ascii="楷体_GB2312" w:eastAsia="楷体_GB2312" w:hAnsi="Calibri" w:cs="Times New Roman"/>
          <w:color w:val="FF0000"/>
          <w:szCs w:val="21"/>
        </w:rPr>
      </w:pPr>
      <w:bookmarkStart w:id="5" w:name="_Toc280543948"/>
      <w:r w:rsidRPr="007372CE">
        <w:rPr>
          <w:rFonts w:ascii="楷体_GB2312" w:eastAsia="楷体_GB2312" w:hAnsi="Calibri" w:cs="Times New Roman" w:hint="eastAsia"/>
          <w:szCs w:val="21"/>
        </w:rPr>
        <w:t>本研究将针对目前农业高校在开展引进原版电子图书/教材工作中遇到的共性问题，以充分调研我国各农业高校原版电子图书/教材建设现状为基础，从内容、数量以及成本等多个角度进行统计分析；同时并对农业高校已开展的引进原版图书/教材工作进行案例分析。</w:t>
      </w:r>
    </w:p>
    <w:p w:rsidR="003F3FCA" w:rsidRPr="00D522AF" w:rsidRDefault="003F3FCA" w:rsidP="003D60EE">
      <w:pPr>
        <w:pStyle w:val="2"/>
        <w:adjustRightInd w:val="0"/>
        <w:snapToGrid w:val="0"/>
        <w:spacing w:before="0" w:after="0" w:line="360" w:lineRule="auto"/>
      </w:pPr>
      <w:r w:rsidRPr="00D522AF">
        <w:rPr>
          <w:rFonts w:hint="eastAsia"/>
        </w:rPr>
        <w:t xml:space="preserve">1.4 </w:t>
      </w:r>
      <w:r w:rsidRPr="00D522AF">
        <w:rPr>
          <w:rFonts w:hint="eastAsia"/>
        </w:rPr>
        <w:t>研究步骤与方法</w:t>
      </w:r>
      <w:bookmarkEnd w:id="5"/>
    </w:p>
    <w:p w:rsidR="003F3FCA" w:rsidRPr="00BE37C4" w:rsidRDefault="003F3FCA" w:rsidP="003D60EE">
      <w:pPr>
        <w:pStyle w:val="3"/>
        <w:adjustRightInd w:val="0"/>
        <w:snapToGrid w:val="0"/>
        <w:spacing w:before="0" w:after="0" w:line="360" w:lineRule="auto"/>
        <w:rPr>
          <w:sz w:val="24"/>
          <w:szCs w:val="24"/>
        </w:rPr>
      </w:pPr>
      <w:r w:rsidRPr="00BE37C4">
        <w:rPr>
          <w:rFonts w:hint="eastAsia"/>
          <w:sz w:val="24"/>
          <w:szCs w:val="24"/>
        </w:rPr>
        <w:t xml:space="preserve">1.4.1 </w:t>
      </w:r>
      <w:r w:rsidRPr="00BE37C4">
        <w:rPr>
          <w:rFonts w:hint="eastAsia"/>
          <w:sz w:val="24"/>
          <w:szCs w:val="24"/>
        </w:rPr>
        <w:t>研究步骤：</w:t>
      </w:r>
    </w:p>
    <w:p w:rsidR="00900CFF" w:rsidRPr="007372CE" w:rsidRDefault="003A1F21" w:rsidP="003D60EE">
      <w:pPr>
        <w:autoSpaceDE w:val="0"/>
        <w:autoSpaceDN w:val="0"/>
        <w:adjustRightInd w:val="0"/>
        <w:snapToGrid w:val="0"/>
        <w:spacing w:line="360" w:lineRule="auto"/>
        <w:rPr>
          <w:rFonts w:ascii="楷体_GB2312" w:eastAsia="楷体_GB2312" w:hAnsi="Calibri" w:cs="Times New Roman"/>
          <w:szCs w:val="21"/>
        </w:rPr>
      </w:pPr>
      <w:r w:rsidRPr="007372CE">
        <w:rPr>
          <w:rFonts w:ascii="楷体_GB2312" w:eastAsia="楷体_GB2312" w:hAnsi="Calibri" w:cs="Times New Roman" w:hint="eastAsia"/>
          <w:szCs w:val="21"/>
        </w:rPr>
        <w:t>（1）</w:t>
      </w:r>
      <w:r w:rsidR="00900CFF" w:rsidRPr="007372CE">
        <w:rPr>
          <w:rFonts w:ascii="楷体_GB2312" w:eastAsia="楷体_GB2312" w:hAnsi="Calibri" w:cs="Times New Roman" w:hint="eastAsia"/>
          <w:szCs w:val="21"/>
        </w:rPr>
        <w:t>我国农业高校原版电子图书/教材的建设现状调研</w:t>
      </w:r>
      <w:r w:rsidRPr="007372CE">
        <w:rPr>
          <w:rFonts w:ascii="楷体_GB2312" w:eastAsia="楷体_GB2312" w:hAnsi="Calibri" w:cs="Times New Roman" w:hint="eastAsia"/>
          <w:szCs w:val="21"/>
        </w:rPr>
        <w:t>，具体内容包括</w:t>
      </w:r>
      <w:r w:rsidR="00900CFF" w:rsidRPr="007372CE">
        <w:rPr>
          <w:rFonts w:ascii="楷体_GB2312" w:eastAsia="楷体_GB2312" w:hAnsi="Calibri" w:cs="Times New Roman" w:hint="eastAsia"/>
          <w:szCs w:val="21"/>
        </w:rPr>
        <w:t>：</w:t>
      </w:r>
    </w:p>
    <w:p w:rsidR="00900CFF" w:rsidRPr="007372CE" w:rsidRDefault="00900CFF" w:rsidP="003D60EE">
      <w:pPr>
        <w:autoSpaceDE w:val="0"/>
        <w:autoSpaceDN w:val="0"/>
        <w:adjustRightInd w:val="0"/>
        <w:snapToGrid w:val="0"/>
        <w:spacing w:line="360" w:lineRule="auto"/>
        <w:ind w:firstLineChars="250" w:firstLine="525"/>
        <w:rPr>
          <w:rFonts w:ascii="楷体_GB2312" w:eastAsia="楷体_GB2312" w:hAnsi="Calibri" w:cs="Times New Roman"/>
          <w:szCs w:val="21"/>
        </w:rPr>
      </w:pPr>
      <w:r w:rsidRPr="007372CE">
        <w:rPr>
          <w:rFonts w:ascii="楷体_GB2312" w:eastAsia="楷体_GB2312" w:hAnsi="Calibri" w:cs="Times New Roman" w:hint="eastAsia"/>
          <w:szCs w:val="21"/>
        </w:rPr>
        <w:t xml:space="preserve">各农业高校原版电子图书/教材的引进数量与内容调研         </w:t>
      </w:r>
    </w:p>
    <w:p w:rsidR="00900CFF" w:rsidRPr="007372CE" w:rsidRDefault="00900CFF" w:rsidP="003D60EE">
      <w:pPr>
        <w:autoSpaceDE w:val="0"/>
        <w:autoSpaceDN w:val="0"/>
        <w:adjustRightInd w:val="0"/>
        <w:snapToGrid w:val="0"/>
        <w:spacing w:line="360" w:lineRule="auto"/>
        <w:ind w:firstLineChars="250" w:firstLine="525"/>
        <w:rPr>
          <w:rFonts w:ascii="楷体_GB2312" w:eastAsia="楷体_GB2312" w:hAnsi="Calibri" w:cs="Times New Roman"/>
          <w:szCs w:val="21"/>
        </w:rPr>
      </w:pPr>
      <w:r w:rsidRPr="007372CE">
        <w:rPr>
          <w:rFonts w:ascii="楷体_GB2312" w:eastAsia="楷体_GB2312" w:hAnsi="Calibri" w:cs="Times New Roman" w:hint="eastAsia"/>
          <w:szCs w:val="21"/>
        </w:rPr>
        <w:t>各农业高校原版电子图书/教材的引进方法调研</w:t>
      </w:r>
    </w:p>
    <w:p w:rsidR="00900CFF" w:rsidRPr="007372CE" w:rsidRDefault="00900CFF" w:rsidP="003D60EE">
      <w:pPr>
        <w:autoSpaceDE w:val="0"/>
        <w:autoSpaceDN w:val="0"/>
        <w:adjustRightInd w:val="0"/>
        <w:snapToGrid w:val="0"/>
        <w:spacing w:line="360" w:lineRule="auto"/>
        <w:ind w:firstLineChars="250" w:firstLine="525"/>
        <w:rPr>
          <w:rFonts w:ascii="楷体_GB2312" w:eastAsia="楷体_GB2312" w:hAnsi="Calibri" w:cs="Times New Roman"/>
          <w:szCs w:val="21"/>
        </w:rPr>
      </w:pPr>
      <w:r w:rsidRPr="007372CE">
        <w:rPr>
          <w:rFonts w:ascii="楷体_GB2312" w:eastAsia="楷体_GB2312" w:hAnsi="Calibri" w:cs="Times New Roman" w:hint="eastAsia"/>
          <w:szCs w:val="21"/>
        </w:rPr>
        <w:t>各农业高校原版电子图书/教材的引进价格调研</w:t>
      </w:r>
    </w:p>
    <w:p w:rsidR="00900CFF" w:rsidRPr="007372CE" w:rsidRDefault="003A1F21" w:rsidP="003D60EE">
      <w:pPr>
        <w:autoSpaceDE w:val="0"/>
        <w:autoSpaceDN w:val="0"/>
        <w:adjustRightInd w:val="0"/>
        <w:snapToGrid w:val="0"/>
        <w:spacing w:line="360" w:lineRule="auto"/>
        <w:rPr>
          <w:rFonts w:ascii="楷体_GB2312" w:eastAsia="楷体_GB2312" w:hAnsi="Calibri" w:cs="Times New Roman"/>
          <w:szCs w:val="21"/>
        </w:rPr>
      </w:pPr>
      <w:r w:rsidRPr="007372CE">
        <w:rPr>
          <w:rFonts w:ascii="楷体_GB2312" w:eastAsia="楷体_GB2312" w:hAnsi="Calibri" w:cs="Times New Roman" w:hint="eastAsia"/>
          <w:szCs w:val="21"/>
        </w:rPr>
        <w:t>（2）</w:t>
      </w:r>
      <w:r w:rsidR="00900CFF" w:rsidRPr="007372CE">
        <w:rPr>
          <w:rFonts w:ascii="楷体_GB2312" w:eastAsia="楷体_GB2312" w:hAnsi="Calibri" w:cs="Times New Roman" w:hint="eastAsia"/>
          <w:szCs w:val="21"/>
        </w:rPr>
        <w:t xml:space="preserve"> 采用文献计量方法对各农业高校原版电子图书/教材进行多角度分析与评价。</w:t>
      </w:r>
    </w:p>
    <w:p w:rsidR="00900CFF" w:rsidRPr="007372CE" w:rsidRDefault="003A1F21" w:rsidP="003D60EE">
      <w:pPr>
        <w:autoSpaceDE w:val="0"/>
        <w:autoSpaceDN w:val="0"/>
        <w:adjustRightInd w:val="0"/>
        <w:snapToGrid w:val="0"/>
        <w:spacing w:line="360" w:lineRule="auto"/>
        <w:rPr>
          <w:rFonts w:ascii="楷体_GB2312" w:eastAsia="楷体_GB2312" w:hAnsi="Calibri" w:cs="Times New Roman"/>
          <w:szCs w:val="21"/>
        </w:rPr>
      </w:pPr>
      <w:r w:rsidRPr="007372CE">
        <w:rPr>
          <w:rFonts w:ascii="楷体_GB2312" w:eastAsia="楷体_GB2312" w:hAnsi="Calibri" w:cs="Times New Roman" w:hint="eastAsia"/>
          <w:szCs w:val="21"/>
        </w:rPr>
        <w:t>（3）</w:t>
      </w:r>
      <w:r w:rsidR="00900CFF" w:rsidRPr="007372CE">
        <w:rPr>
          <w:rFonts w:ascii="楷体_GB2312" w:eastAsia="楷体_GB2312" w:hAnsi="Calibri" w:cs="Times New Roman" w:hint="eastAsia"/>
          <w:szCs w:val="21"/>
        </w:rPr>
        <w:t xml:space="preserve"> 采用案例分析方法对农业高校联盟引进原版电子图书/教材工作进行分析与评价。</w:t>
      </w:r>
    </w:p>
    <w:p w:rsidR="003F3FCA" w:rsidRPr="00BE37C4" w:rsidRDefault="003F3FCA" w:rsidP="003D60EE">
      <w:pPr>
        <w:pStyle w:val="3"/>
        <w:adjustRightInd w:val="0"/>
        <w:snapToGrid w:val="0"/>
        <w:spacing w:before="0" w:after="0" w:line="360" w:lineRule="auto"/>
        <w:rPr>
          <w:sz w:val="24"/>
          <w:szCs w:val="24"/>
        </w:rPr>
      </w:pPr>
      <w:r w:rsidRPr="00BE37C4">
        <w:rPr>
          <w:rFonts w:hint="eastAsia"/>
          <w:sz w:val="24"/>
          <w:szCs w:val="24"/>
        </w:rPr>
        <w:t xml:space="preserve">1.4.2 </w:t>
      </w:r>
      <w:r w:rsidRPr="00BE37C4">
        <w:rPr>
          <w:rFonts w:hint="eastAsia"/>
          <w:sz w:val="24"/>
          <w:szCs w:val="24"/>
        </w:rPr>
        <w:t>研究方法</w:t>
      </w:r>
    </w:p>
    <w:p w:rsidR="00900CFF" w:rsidRPr="007372CE" w:rsidRDefault="003A1F21" w:rsidP="003D60EE">
      <w:pPr>
        <w:autoSpaceDE w:val="0"/>
        <w:autoSpaceDN w:val="0"/>
        <w:adjustRightInd w:val="0"/>
        <w:snapToGrid w:val="0"/>
        <w:spacing w:line="360" w:lineRule="auto"/>
        <w:rPr>
          <w:rFonts w:ascii="楷体_GB2312" w:eastAsia="楷体_GB2312" w:hAnsi="Calibri" w:cs="Times New Roman"/>
          <w:szCs w:val="21"/>
        </w:rPr>
      </w:pPr>
      <w:r w:rsidRPr="007372CE">
        <w:rPr>
          <w:rFonts w:ascii="楷体_GB2312" w:eastAsia="楷体_GB2312" w:hAnsi="Calibri" w:cs="Times New Roman" w:hint="eastAsia"/>
          <w:szCs w:val="21"/>
        </w:rPr>
        <w:t>（1）</w:t>
      </w:r>
      <w:r w:rsidR="00900CFF" w:rsidRPr="007372CE">
        <w:rPr>
          <w:rFonts w:ascii="楷体_GB2312" w:eastAsia="楷体_GB2312" w:hAnsi="Calibri" w:cs="Times New Roman" w:hint="eastAsia"/>
          <w:szCs w:val="21"/>
        </w:rPr>
        <w:t>文献研究法：通过本校丰富的文献资源和电子资源，对研究课题进行文献综合研究， 获取最新研究进展。</w:t>
      </w:r>
    </w:p>
    <w:p w:rsidR="00900CFF" w:rsidRPr="007372CE" w:rsidRDefault="003A1F21" w:rsidP="003D60EE">
      <w:pPr>
        <w:autoSpaceDE w:val="0"/>
        <w:autoSpaceDN w:val="0"/>
        <w:adjustRightInd w:val="0"/>
        <w:snapToGrid w:val="0"/>
        <w:spacing w:line="360" w:lineRule="auto"/>
        <w:rPr>
          <w:rFonts w:ascii="楷体_GB2312" w:eastAsia="楷体_GB2312" w:hAnsi="Calibri" w:cs="Times New Roman"/>
          <w:szCs w:val="21"/>
        </w:rPr>
      </w:pPr>
      <w:r w:rsidRPr="007372CE">
        <w:rPr>
          <w:rFonts w:ascii="楷体_GB2312" w:eastAsia="楷体_GB2312" w:hAnsi="Calibri" w:cs="Times New Roman" w:hint="eastAsia"/>
          <w:szCs w:val="21"/>
        </w:rPr>
        <w:t>（2）</w:t>
      </w:r>
      <w:r w:rsidR="00900CFF" w:rsidRPr="007372CE">
        <w:rPr>
          <w:rFonts w:ascii="楷体_GB2312" w:eastAsia="楷体_GB2312" w:hAnsi="Calibri" w:cs="Times New Roman" w:hint="eastAsia"/>
          <w:szCs w:val="21"/>
        </w:rPr>
        <w:t xml:space="preserve"> 网络调研法：通过网络调研，收集国内农业高校引进原版电子图书/教材的相关信息。</w:t>
      </w:r>
    </w:p>
    <w:p w:rsidR="00900CFF" w:rsidRPr="007372CE" w:rsidRDefault="003A1F21" w:rsidP="003D60EE">
      <w:pPr>
        <w:autoSpaceDE w:val="0"/>
        <w:autoSpaceDN w:val="0"/>
        <w:adjustRightInd w:val="0"/>
        <w:snapToGrid w:val="0"/>
        <w:spacing w:line="360" w:lineRule="auto"/>
        <w:rPr>
          <w:rFonts w:ascii="楷体_GB2312" w:eastAsia="楷体_GB2312" w:hAnsi="Calibri" w:cs="Times New Roman"/>
          <w:szCs w:val="21"/>
        </w:rPr>
      </w:pPr>
      <w:r w:rsidRPr="007372CE">
        <w:rPr>
          <w:rFonts w:ascii="楷体_GB2312" w:eastAsia="楷体_GB2312" w:hAnsi="Calibri" w:cs="Times New Roman" w:hint="eastAsia"/>
          <w:szCs w:val="21"/>
        </w:rPr>
        <w:t>（3）</w:t>
      </w:r>
      <w:r w:rsidR="00900CFF" w:rsidRPr="007372CE">
        <w:rPr>
          <w:rFonts w:ascii="楷体_GB2312" w:eastAsia="楷体_GB2312" w:hAnsi="Calibri" w:cs="Times New Roman" w:hint="eastAsia"/>
          <w:szCs w:val="21"/>
        </w:rPr>
        <w:t xml:space="preserve"> 案例分析法：对我国农业高校已开展的联盟引进原版电子图书/教材的模式进行案例分析。</w:t>
      </w:r>
    </w:p>
    <w:p w:rsidR="009B6E7F" w:rsidRPr="00B96090" w:rsidRDefault="007372CE" w:rsidP="00B96090">
      <w:pPr>
        <w:pStyle w:val="1"/>
        <w:adjustRightInd w:val="0"/>
        <w:snapToGrid w:val="0"/>
        <w:spacing w:before="0" w:after="0" w:line="360" w:lineRule="auto"/>
      </w:pPr>
      <w:r w:rsidRPr="00B96090">
        <w:rPr>
          <w:rFonts w:hint="eastAsia"/>
        </w:rPr>
        <w:t>2.</w:t>
      </w:r>
      <w:r w:rsidR="00B96090" w:rsidRPr="00B96090">
        <w:rPr>
          <w:rFonts w:hint="eastAsia"/>
        </w:rPr>
        <w:t>农业高校原版电子图书</w:t>
      </w:r>
      <w:r w:rsidR="00B96090" w:rsidRPr="00B96090">
        <w:rPr>
          <w:rFonts w:hint="eastAsia"/>
        </w:rPr>
        <w:t>/</w:t>
      </w:r>
      <w:r w:rsidR="00B96090" w:rsidRPr="00B96090">
        <w:rPr>
          <w:rFonts w:hint="eastAsia"/>
        </w:rPr>
        <w:t>教材的引进现状分析</w:t>
      </w:r>
    </w:p>
    <w:p w:rsidR="00B96090" w:rsidRDefault="00A15101" w:rsidP="004B70F3">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为保证调研的全面性与准确性，</w:t>
      </w:r>
      <w:r w:rsidR="00895378">
        <w:rPr>
          <w:rFonts w:ascii="楷体_GB2312" w:eastAsia="楷体_GB2312" w:hAnsi="Calibri" w:cs="Times New Roman" w:hint="eastAsia"/>
          <w:szCs w:val="21"/>
        </w:rPr>
        <w:t>选取了</w:t>
      </w:r>
      <w:r w:rsidR="00895378" w:rsidRPr="00895378">
        <w:rPr>
          <w:rFonts w:ascii="楷体_GB2312" w:eastAsia="楷体_GB2312" w:hAnsi="Calibri" w:cs="Times New Roman" w:hint="eastAsia"/>
          <w:szCs w:val="21"/>
        </w:rPr>
        <w:t>CALIS全国农学文献信息中心（涉农高校图书馆联盟）</w:t>
      </w:r>
      <w:r w:rsidR="004B70F3">
        <w:rPr>
          <w:rFonts w:ascii="楷体_GB2312" w:eastAsia="楷体_GB2312" w:hAnsi="Calibri" w:cs="Times New Roman" w:hint="eastAsia"/>
          <w:szCs w:val="21"/>
        </w:rPr>
        <w:t>成员单位为调研对象，共包含54所涉农院校，分别为：</w:t>
      </w:r>
      <w:r w:rsidR="004B70F3" w:rsidRPr="004B70F3">
        <w:rPr>
          <w:rFonts w:ascii="楷体_GB2312" w:eastAsia="楷体_GB2312" w:hAnsi="Calibri" w:cs="Times New Roman" w:hint="eastAsia"/>
          <w:szCs w:val="21"/>
        </w:rPr>
        <w:t>安徽农业大学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北华大学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北京林业大学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北京农学院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北京农业职业学院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大连海洋大学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东北林业大学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东北农业大学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福建农林大学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甘肃农业大学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广东海洋大学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广西大学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广西生态工程职业技术学院</w:t>
      </w:r>
      <w:r w:rsidR="004B70F3">
        <w:rPr>
          <w:rFonts w:ascii="楷体_GB2312" w:eastAsia="楷体_GB2312" w:hAnsi="Calibri" w:cs="Times New Roman" w:hint="eastAsia"/>
          <w:szCs w:val="21"/>
        </w:rPr>
        <w:t xml:space="preserve">、 </w:t>
      </w:r>
      <w:r w:rsidR="004B70F3" w:rsidRPr="004B70F3">
        <w:rPr>
          <w:rFonts w:ascii="楷体_GB2312" w:eastAsia="楷体_GB2312" w:hAnsi="Calibri" w:cs="Times New Roman" w:hint="eastAsia"/>
          <w:szCs w:val="21"/>
        </w:rPr>
        <w:t>海南大学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河北农业大学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河南牧业经济学院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河南农业大学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黑龙江八一农垦大学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黑龙江农业经济职业学院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湖南农业大学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华南农业大学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华中农业大学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吉林大学农学部</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吉林农业大学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江南大学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江苏农林职业技术学院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江西农业大学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南京林业大学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南京农业大学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内蒙古农业大学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青岛农业大学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山东畜牧兽医职业学院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山东农业大学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山西农业大学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上海海洋大学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沈阳农业大学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四川农业大学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塔里木大学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天津农学院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西北农林科技大学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西藏大学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西昌学院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西南大学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西南林业大学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新疆农业大学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扬州大学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云南农业大学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浙江大学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浙江海洋学院</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浙江农林大学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中国海洋大学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中国农业大学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中</w:t>
      </w:r>
      <w:r w:rsidR="004B70F3" w:rsidRPr="004B70F3">
        <w:rPr>
          <w:rFonts w:ascii="楷体_GB2312" w:eastAsia="楷体_GB2312" w:hAnsi="Calibri" w:cs="Times New Roman" w:hint="eastAsia"/>
          <w:szCs w:val="21"/>
        </w:rPr>
        <w:lastRenderedPageBreak/>
        <w:t>南林业科技大学</w:t>
      </w:r>
      <w:r w:rsidR="004B70F3">
        <w:rPr>
          <w:rFonts w:ascii="楷体_GB2312" w:eastAsia="楷体_GB2312" w:hAnsi="Calibri" w:cs="Times New Roman" w:hint="eastAsia"/>
          <w:szCs w:val="21"/>
        </w:rPr>
        <w:t>、</w:t>
      </w:r>
      <w:r w:rsidR="004B70F3" w:rsidRPr="004B70F3">
        <w:rPr>
          <w:rFonts w:ascii="楷体_GB2312" w:eastAsia="楷体_GB2312" w:hAnsi="Calibri" w:cs="Times New Roman" w:hint="eastAsia"/>
          <w:szCs w:val="21"/>
        </w:rPr>
        <w:t>仲恺农业工程学院</w:t>
      </w:r>
      <w:r w:rsidR="00AE24C6">
        <w:rPr>
          <w:rFonts w:ascii="楷体_GB2312" w:eastAsia="楷体_GB2312" w:hAnsi="Calibri" w:cs="Times New Roman" w:hint="eastAsia"/>
          <w:szCs w:val="21"/>
        </w:rPr>
        <w:t>。在上面54所涉农院校中，有</w:t>
      </w:r>
      <w:r w:rsidR="00C23869">
        <w:rPr>
          <w:rFonts w:ascii="楷体_GB2312" w:eastAsia="楷体_GB2312" w:hAnsi="Calibri" w:cs="Times New Roman" w:hint="eastAsia"/>
          <w:szCs w:val="21"/>
        </w:rPr>
        <w:t>6</w:t>
      </w:r>
      <w:r w:rsidR="00834039">
        <w:rPr>
          <w:rFonts w:ascii="楷体_GB2312" w:eastAsia="楷体_GB2312" w:hAnsi="Calibri" w:cs="Times New Roman" w:hint="eastAsia"/>
          <w:szCs w:val="21"/>
        </w:rPr>
        <w:t>所职业学校对原版教材的需求程度较低，所以排除在调研范围之外；另外浙江大学和吉林大学两所高校均由多个高校合并而成，学校规模与地位处于全国前列</w:t>
      </w:r>
      <w:r w:rsidR="007C0D0D">
        <w:rPr>
          <w:rFonts w:ascii="楷体_GB2312" w:eastAsia="楷体_GB2312" w:hAnsi="Calibri" w:cs="Times New Roman" w:hint="eastAsia"/>
          <w:szCs w:val="21"/>
        </w:rPr>
        <w:t>，其图书馆的经费与资源也处于高校图书馆的前列，与其他农业高校图书馆不具备可比性，因此将正两所学校也排除在调研范围之外，</w:t>
      </w:r>
      <w:r w:rsidR="00C23869">
        <w:rPr>
          <w:rFonts w:ascii="楷体_GB2312" w:eastAsia="楷体_GB2312" w:hAnsi="Calibri" w:cs="Times New Roman" w:hint="eastAsia"/>
          <w:szCs w:val="21"/>
        </w:rPr>
        <w:t>最终确定</w:t>
      </w:r>
      <w:r w:rsidR="007C0D0D">
        <w:rPr>
          <w:rFonts w:ascii="楷体_GB2312" w:eastAsia="楷体_GB2312" w:hAnsi="Calibri" w:cs="Times New Roman" w:hint="eastAsia"/>
          <w:szCs w:val="21"/>
        </w:rPr>
        <w:t>46</w:t>
      </w:r>
      <w:r w:rsidR="00C23869">
        <w:rPr>
          <w:rFonts w:ascii="楷体_GB2312" w:eastAsia="楷体_GB2312" w:hAnsi="Calibri" w:cs="Times New Roman" w:hint="eastAsia"/>
          <w:szCs w:val="21"/>
        </w:rPr>
        <w:t>所高校为调研目标。</w:t>
      </w:r>
      <w:r w:rsidR="00BF040A">
        <w:rPr>
          <w:rFonts w:ascii="楷体_GB2312" w:eastAsia="楷体_GB2312" w:hAnsi="Calibri" w:cs="Times New Roman" w:hint="eastAsia"/>
          <w:szCs w:val="21"/>
        </w:rPr>
        <w:t>本研究采用网络调研为主，问卷调查为辅的方式进行，数据主要来源于各高校图书馆网站，所统计获得的各高校引进原版电子图书/教材的数量与实际准确值可能存在些许差异，统计时间截止至2016</w:t>
      </w:r>
      <w:r w:rsidR="00154894">
        <w:rPr>
          <w:rFonts w:ascii="楷体_GB2312" w:eastAsia="楷体_GB2312" w:hAnsi="Calibri" w:cs="Times New Roman" w:hint="eastAsia"/>
          <w:szCs w:val="21"/>
        </w:rPr>
        <w:t>年1</w:t>
      </w:r>
      <w:r w:rsidR="00BF040A">
        <w:rPr>
          <w:rFonts w:ascii="楷体_GB2312" w:eastAsia="楷体_GB2312" w:hAnsi="Calibri" w:cs="Times New Roman" w:hint="eastAsia"/>
          <w:szCs w:val="21"/>
        </w:rPr>
        <w:t>月26日。</w:t>
      </w:r>
    </w:p>
    <w:p w:rsidR="00B96090" w:rsidRPr="0099614E" w:rsidRDefault="00B96090" w:rsidP="0099614E">
      <w:pPr>
        <w:pStyle w:val="2"/>
        <w:adjustRightInd w:val="0"/>
        <w:snapToGrid w:val="0"/>
        <w:spacing w:before="0" w:after="0" w:line="360" w:lineRule="auto"/>
      </w:pPr>
      <w:r w:rsidRPr="0099614E">
        <w:rPr>
          <w:rFonts w:hint="eastAsia"/>
        </w:rPr>
        <w:t xml:space="preserve">2.1 </w:t>
      </w:r>
      <w:r w:rsidRPr="0099614E">
        <w:rPr>
          <w:rFonts w:hint="eastAsia"/>
        </w:rPr>
        <w:t>农业高校原版电子图书</w:t>
      </w:r>
      <w:r w:rsidRPr="0099614E">
        <w:rPr>
          <w:rFonts w:hint="eastAsia"/>
        </w:rPr>
        <w:t>/</w:t>
      </w:r>
      <w:r w:rsidRPr="0099614E">
        <w:rPr>
          <w:rFonts w:hint="eastAsia"/>
        </w:rPr>
        <w:t>教材的引进数量分析</w:t>
      </w:r>
    </w:p>
    <w:p w:rsidR="00335BFC" w:rsidRDefault="00C62992" w:rsidP="00335BFC">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登陆所选取调研的46所涉农高校的图书馆网站，统计得到正式公布本馆引进了外文电子图书的有4</w:t>
      </w:r>
      <w:r w:rsidR="00462B06">
        <w:rPr>
          <w:rFonts w:ascii="楷体_GB2312" w:eastAsia="楷体_GB2312" w:hAnsi="Calibri" w:cs="Times New Roman" w:hint="eastAsia"/>
          <w:szCs w:val="21"/>
        </w:rPr>
        <w:t>2</w:t>
      </w:r>
      <w:r>
        <w:rPr>
          <w:rFonts w:ascii="楷体_GB2312" w:eastAsia="楷体_GB2312" w:hAnsi="Calibri" w:cs="Times New Roman" w:hint="eastAsia"/>
          <w:szCs w:val="21"/>
        </w:rPr>
        <w:t>家，另有</w:t>
      </w:r>
      <w:r w:rsidR="00462B06">
        <w:rPr>
          <w:rFonts w:ascii="楷体_GB2312" w:eastAsia="楷体_GB2312" w:hAnsi="Calibri" w:cs="Times New Roman" w:hint="eastAsia"/>
          <w:szCs w:val="21"/>
        </w:rPr>
        <w:t>4</w:t>
      </w:r>
      <w:r>
        <w:rPr>
          <w:rFonts w:ascii="楷体_GB2312" w:eastAsia="楷体_GB2312" w:hAnsi="Calibri" w:cs="Times New Roman" w:hint="eastAsia"/>
          <w:szCs w:val="21"/>
        </w:rPr>
        <w:t>家高校的图书馆网站</w:t>
      </w:r>
      <w:r w:rsidR="00335BFC">
        <w:rPr>
          <w:rFonts w:ascii="楷体_GB2312" w:eastAsia="楷体_GB2312" w:hAnsi="Calibri" w:cs="Times New Roman" w:hint="eastAsia"/>
          <w:szCs w:val="21"/>
        </w:rPr>
        <w:t>上</w:t>
      </w:r>
      <w:r>
        <w:rPr>
          <w:rFonts w:ascii="楷体_GB2312" w:eastAsia="楷体_GB2312" w:hAnsi="Calibri" w:cs="Times New Roman" w:hint="eastAsia"/>
          <w:szCs w:val="21"/>
        </w:rPr>
        <w:t>没有找到外文电子图书的相关信息。</w:t>
      </w:r>
    </w:p>
    <w:p w:rsidR="00971DE2" w:rsidRDefault="00FA1772" w:rsidP="00335BFC">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通过</w:t>
      </w:r>
      <w:r w:rsidR="000B59BE">
        <w:rPr>
          <w:rFonts w:ascii="楷体_GB2312" w:eastAsia="楷体_GB2312" w:hAnsi="Calibri" w:cs="Times New Roman" w:hint="eastAsia"/>
          <w:szCs w:val="21"/>
        </w:rPr>
        <w:t>对各馆引进外文电子图书的来源及提供商进行分析，可以</w:t>
      </w:r>
      <w:r>
        <w:rPr>
          <w:rFonts w:ascii="楷体_GB2312" w:eastAsia="楷体_GB2312" w:hAnsi="Calibri" w:cs="Times New Roman" w:hint="eastAsia"/>
          <w:szCs w:val="21"/>
        </w:rPr>
        <w:t>将其</w:t>
      </w:r>
      <w:r w:rsidR="000B59BE">
        <w:rPr>
          <w:rFonts w:ascii="楷体_GB2312" w:eastAsia="楷体_GB2312" w:hAnsi="Calibri" w:cs="Times New Roman" w:hint="eastAsia"/>
          <w:szCs w:val="21"/>
        </w:rPr>
        <w:t>大致分为三</w:t>
      </w:r>
      <w:r w:rsidR="00335BFC">
        <w:rPr>
          <w:rFonts w:ascii="楷体_GB2312" w:eastAsia="楷体_GB2312" w:hAnsi="Calibri" w:cs="Times New Roman" w:hint="eastAsia"/>
          <w:szCs w:val="21"/>
        </w:rPr>
        <w:t>种类型：</w:t>
      </w:r>
    </w:p>
    <w:p w:rsidR="00971DE2" w:rsidRDefault="00335BFC" w:rsidP="00335BFC">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第一种</w:t>
      </w:r>
      <w:r w:rsidR="000B59BE">
        <w:rPr>
          <w:rFonts w:ascii="楷体_GB2312" w:eastAsia="楷体_GB2312" w:hAnsi="Calibri" w:cs="Times New Roman" w:hint="eastAsia"/>
          <w:szCs w:val="21"/>
        </w:rPr>
        <w:t>为直接由国外出版社提供</w:t>
      </w:r>
      <w:r>
        <w:rPr>
          <w:rFonts w:ascii="楷体_GB2312" w:eastAsia="楷体_GB2312" w:hAnsi="Calibri" w:cs="Times New Roman" w:hint="eastAsia"/>
          <w:szCs w:val="21"/>
        </w:rPr>
        <w:t>其</w:t>
      </w:r>
      <w:r w:rsidR="000B59BE">
        <w:rPr>
          <w:rFonts w:ascii="楷体_GB2312" w:eastAsia="楷体_GB2312" w:hAnsi="Calibri" w:cs="Times New Roman" w:hint="eastAsia"/>
          <w:szCs w:val="21"/>
        </w:rPr>
        <w:t>出版的电子图书，使用的平台也多为出版社直接提供，另有少数</w:t>
      </w:r>
      <w:r>
        <w:rPr>
          <w:rFonts w:ascii="楷体_GB2312" w:eastAsia="楷体_GB2312" w:hAnsi="Calibri" w:cs="Times New Roman" w:hint="eastAsia"/>
          <w:szCs w:val="21"/>
        </w:rPr>
        <w:t>使用的是第三方平台，</w:t>
      </w:r>
      <w:r w:rsidR="000B59BE">
        <w:rPr>
          <w:rFonts w:ascii="楷体_GB2312" w:eastAsia="楷体_GB2312" w:hAnsi="Calibri" w:cs="Times New Roman" w:hint="eastAsia"/>
          <w:szCs w:val="21"/>
        </w:rPr>
        <w:t>这类</w:t>
      </w:r>
      <w:r>
        <w:rPr>
          <w:rFonts w:ascii="楷体_GB2312" w:eastAsia="楷体_GB2312" w:hAnsi="Calibri" w:cs="Times New Roman" w:hint="eastAsia"/>
          <w:szCs w:val="21"/>
        </w:rPr>
        <w:t>电子</w:t>
      </w:r>
      <w:r w:rsidR="000B59BE">
        <w:rPr>
          <w:rFonts w:ascii="楷体_GB2312" w:eastAsia="楷体_GB2312" w:hAnsi="Calibri" w:cs="Times New Roman" w:hint="eastAsia"/>
          <w:szCs w:val="21"/>
        </w:rPr>
        <w:t>图书的特点是</w:t>
      </w:r>
      <w:r w:rsidR="009D5185">
        <w:rPr>
          <w:rFonts w:ascii="楷体_GB2312" w:eastAsia="楷体_GB2312" w:hAnsi="Calibri" w:cs="Times New Roman" w:hint="eastAsia"/>
          <w:szCs w:val="21"/>
        </w:rPr>
        <w:t>内容专业性强、学术价值高、出版时间比较新，是各高校广大师生用户必需的学术资源，能够为高校的教学与科研提供有效的文献服务，同时这类电子图书折算后单本的平均价格也是最高的。</w:t>
      </w:r>
    </w:p>
    <w:p w:rsidR="00971DE2" w:rsidRDefault="005908E6" w:rsidP="00335BFC">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第二种是由国外的数据库集成商提供的外文电子图书，所用平台均为集成商提供，因为这些国外的数据库集成商发展历史比较长，在该领域的运作模式已经成熟且规范，所以用户在使用时可以得到服务保障。但与出版社直接提供的电子图书想比，集成商提供的电子图书</w:t>
      </w:r>
      <w:r w:rsidR="007D752D">
        <w:rPr>
          <w:rFonts w:ascii="楷体_GB2312" w:eastAsia="楷体_GB2312" w:hAnsi="Calibri" w:cs="Times New Roman" w:hint="eastAsia"/>
          <w:szCs w:val="21"/>
        </w:rPr>
        <w:t>需要先从出版社买下图书的版权，</w:t>
      </w:r>
      <w:r w:rsidR="00FE51DA">
        <w:rPr>
          <w:rFonts w:ascii="楷体_GB2312" w:eastAsia="楷体_GB2312" w:hAnsi="Calibri" w:cs="Times New Roman" w:hint="eastAsia"/>
          <w:szCs w:val="21"/>
        </w:rPr>
        <w:t>然后才可以在自己的平台上进行销售服务，而用户在购买及使用这些电子图书的时候会受到一些制约，集成商提供的电子图书种类与时效性最终取决于出版社的态度</w:t>
      </w:r>
      <w:r w:rsidR="00BF30C1">
        <w:rPr>
          <w:rFonts w:ascii="楷体_GB2312" w:eastAsia="楷体_GB2312" w:hAnsi="Calibri" w:cs="Times New Roman" w:hint="eastAsia"/>
          <w:szCs w:val="21"/>
        </w:rPr>
        <w:t>，同一平台上电子图书来源于众多不同出版社，每本书间的学术质量存在差异</w:t>
      </w:r>
      <w:r w:rsidR="00FE51DA">
        <w:rPr>
          <w:rFonts w:ascii="楷体_GB2312" w:eastAsia="楷体_GB2312" w:hAnsi="Calibri" w:cs="Times New Roman" w:hint="eastAsia"/>
          <w:szCs w:val="21"/>
        </w:rPr>
        <w:t>。这类电子图书最大的优点是平均价格较低，很多学校选择引进这</w:t>
      </w:r>
      <w:r w:rsidR="00910E50">
        <w:rPr>
          <w:rFonts w:ascii="楷体_GB2312" w:eastAsia="楷体_GB2312" w:hAnsi="Calibri" w:cs="Times New Roman" w:hint="eastAsia"/>
          <w:szCs w:val="21"/>
        </w:rPr>
        <w:t>种类型的</w:t>
      </w:r>
      <w:r w:rsidR="00FE51DA">
        <w:rPr>
          <w:rFonts w:ascii="楷体_GB2312" w:eastAsia="楷体_GB2312" w:hAnsi="Calibri" w:cs="Times New Roman" w:hint="eastAsia"/>
          <w:szCs w:val="21"/>
        </w:rPr>
        <w:t>电子图书</w:t>
      </w:r>
      <w:r w:rsidR="00910E50">
        <w:rPr>
          <w:rFonts w:ascii="楷体_GB2312" w:eastAsia="楷体_GB2312" w:hAnsi="Calibri" w:cs="Times New Roman" w:hint="eastAsia"/>
          <w:szCs w:val="21"/>
        </w:rPr>
        <w:t>目的是</w:t>
      </w:r>
      <w:r w:rsidR="00971DE2">
        <w:rPr>
          <w:rFonts w:ascii="楷体_GB2312" w:eastAsia="楷体_GB2312" w:hAnsi="Calibri" w:cs="Times New Roman" w:hint="eastAsia"/>
          <w:szCs w:val="21"/>
        </w:rPr>
        <w:t>期望以较少的经费引进相对数量较多的外文电子图书，先</w:t>
      </w:r>
      <w:r w:rsidR="00BF30C1">
        <w:rPr>
          <w:rFonts w:ascii="楷体_GB2312" w:eastAsia="楷体_GB2312" w:hAnsi="Calibri" w:cs="Times New Roman" w:hint="eastAsia"/>
          <w:szCs w:val="21"/>
        </w:rPr>
        <w:t>行保障了图书内容范围</w:t>
      </w:r>
      <w:r w:rsidR="00971DE2">
        <w:rPr>
          <w:rFonts w:ascii="楷体_GB2312" w:eastAsia="楷体_GB2312" w:hAnsi="Calibri" w:cs="Times New Roman" w:hint="eastAsia"/>
          <w:szCs w:val="21"/>
        </w:rPr>
        <w:t>的全面性</w:t>
      </w:r>
      <w:r w:rsidR="00BF30C1">
        <w:rPr>
          <w:rFonts w:ascii="楷体_GB2312" w:eastAsia="楷体_GB2312" w:hAnsi="Calibri" w:cs="Times New Roman" w:hint="eastAsia"/>
          <w:szCs w:val="21"/>
        </w:rPr>
        <w:t>，从而弥补了原有外文图书馆藏的不足。</w:t>
      </w:r>
    </w:p>
    <w:p w:rsidR="00FE51DA" w:rsidRDefault="005E702E" w:rsidP="00C13708">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第三种类型的外文电子图书是由国内集成商</w:t>
      </w:r>
      <w:r w:rsidR="001236B0">
        <w:rPr>
          <w:rFonts w:ascii="楷体_GB2312" w:eastAsia="楷体_GB2312" w:hAnsi="Calibri" w:cs="Times New Roman" w:hint="eastAsia"/>
          <w:szCs w:val="21"/>
        </w:rPr>
        <w:t>所</w:t>
      </w:r>
      <w:r>
        <w:rPr>
          <w:rFonts w:ascii="楷体_GB2312" w:eastAsia="楷体_GB2312" w:hAnsi="Calibri" w:cs="Times New Roman" w:hint="eastAsia"/>
          <w:szCs w:val="21"/>
        </w:rPr>
        <w:t>提供</w:t>
      </w:r>
      <w:r w:rsidR="001236B0">
        <w:rPr>
          <w:rFonts w:ascii="楷体_GB2312" w:eastAsia="楷体_GB2312" w:hAnsi="Calibri" w:cs="Times New Roman" w:hint="eastAsia"/>
          <w:szCs w:val="21"/>
        </w:rPr>
        <w:t>，</w:t>
      </w:r>
      <w:r w:rsidR="00C13708">
        <w:rPr>
          <w:rFonts w:ascii="楷体_GB2312" w:eastAsia="楷体_GB2312" w:hAnsi="Calibri" w:cs="Times New Roman" w:hint="eastAsia"/>
          <w:szCs w:val="21"/>
        </w:rPr>
        <w:t>主要有以下六大产品：优阅外文原版电子书、EBM-L</w:t>
      </w:r>
      <w:r w:rsidR="00C13708">
        <w:rPr>
          <w:rFonts w:ascii="楷体_GB2312" w:eastAsia="楷体_GB2312" w:hAnsi="Calibri" w:cs="Times New Roman"/>
          <w:szCs w:val="21"/>
        </w:rPr>
        <w:t>i</w:t>
      </w:r>
      <w:r w:rsidR="00C13708">
        <w:rPr>
          <w:rFonts w:ascii="楷体_GB2312" w:eastAsia="楷体_GB2312" w:hAnsi="Calibri" w:cs="Times New Roman" w:hint="eastAsia"/>
          <w:szCs w:val="21"/>
        </w:rPr>
        <w:t>brary电子图书、金图国际外文数字图书馆、易联博图外文电子图书、WISEBOOK</w:t>
      </w:r>
      <w:r w:rsidR="00480C78">
        <w:rPr>
          <w:rFonts w:ascii="楷体_GB2312" w:eastAsia="楷体_GB2312" w:hAnsi="Calibri" w:cs="Times New Roman" w:hint="eastAsia"/>
          <w:szCs w:val="21"/>
        </w:rPr>
        <w:t>电子图书、美星外文数字图书馆。</w:t>
      </w:r>
      <w:r w:rsidR="00CC0D49">
        <w:rPr>
          <w:rFonts w:ascii="楷体_GB2312" w:eastAsia="楷体_GB2312" w:hAnsi="Calibri" w:cs="Times New Roman" w:hint="eastAsia"/>
          <w:szCs w:val="21"/>
        </w:rPr>
        <w:t>由于国内商家在外文电子图书</w:t>
      </w:r>
      <w:r w:rsidR="00950297">
        <w:rPr>
          <w:rFonts w:ascii="楷体_GB2312" w:eastAsia="楷体_GB2312" w:hAnsi="Calibri" w:cs="Times New Roman" w:hint="eastAsia"/>
          <w:szCs w:val="21"/>
        </w:rPr>
        <w:t>的</w:t>
      </w:r>
      <w:r w:rsidR="00CC0D49">
        <w:rPr>
          <w:rFonts w:ascii="楷体_GB2312" w:eastAsia="楷体_GB2312" w:hAnsi="Calibri" w:cs="Times New Roman" w:hint="eastAsia"/>
          <w:szCs w:val="21"/>
        </w:rPr>
        <w:t>制作</w:t>
      </w:r>
      <w:r w:rsidR="00950297">
        <w:rPr>
          <w:rFonts w:ascii="楷体_GB2312" w:eastAsia="楷体_GB2312" w:hAnsi="Calibri" w:cs="Times New Roman" w:hint="eastAsia"/>
          <w:szCs w:val="21"/>
        </w:rPr>
        <w:t>与销售</w:t>
      </w:r>
      <w:r w:rsidR="00CC0D49">
        <w:rPr>
          <w:rFonts w:ascii="楷体_GB2312" w:eastAsia="楷体_GB2312" w:hAnsi="Calibri" w:cs="Times New Roman" w:hint="eastAsia"/>
          <w:szCs w:val="21"/>
        </w:rPr>
        <w:t>方面起步较晚</w:t>
      </w:r>
      <w:r w:rsidR="00950297">
        <w:rPr>
          <w:rFonts w:ascii="楷体_GB2312" w:eastAsia="楷体_GB2312" w:hAnsi="Calibri" w:cs="Times New Roman" w:hint="eastAsia"/>
          <w:szCs w:val="21"/>
        </w:rPr>
        <w:t>，目前尚未达到成熟规范的阶段，因此这类电子图书的引进不在本研究的范围之内。</w:t>
      </w:r>
    </w:p>
    <w:p w:rsidR="00FE51DA" w:rsidRPr="00BE4284" w:rsidRDefault="00FA1772" w:rsidP="00335BFC">
      <w:pPr>
        <w:autoSpaceDE w:val="0"/>
        <w:autoSpaceDN w:val="0"/>
        <w:adjustRightInd w:val="0"/>
        <w:snapToGrid w:val="0"/>
        <w:spacing w:line="360" w:lineRule="auto"/>
        <w:ind w:firstLine="420"/>
        <w:rPr>
          <w:rFonts w:ascii="楷体_GB2312" w:eastAsia="楷体_GB2312" w:hAnsi="Calibri" w:cs="Times New Roman"/>
          <w:color w:val="000000" w:themeColor="text1"/>
          <w:szCs w:val="21"/>
        </w:rPr>
      </w:pPr>
      <w:r>
        <w:rPr>
          <w:rFonts w:ascii="楷体_GB2312" w:eastAsia="楷体_GB2312" w:hAnsi="Calibri" w:cs="Times New Roman" w:hint="eastAsia"/>
          <w:szCs w:val="21"/>
        </w:rPr>
        <w:t>对各馆在网站上发布的所引进电子图书的提供商、平台数量以及总数量进行汇总</w:t>
      </w:r>
      <w:r w:rsidR="007056A1">
        <w:rPr>
          <w:rFonts w:ascii="楷体_GB2312" w:eastAsia="楷体_GB2312" w:hAnsi="Calibri" w:cs="Times New Roman" w:hint="eastAsia"/>
          <w:szCs w:val="21"/>
        </w:rPr>
        <w:t>、分类</w:t>
      </w:r>
      <w:r>
        <w:rPr>
          <w:rFonts w:ascii="楷体_GB2312" w:eastAsia="楷体_GB2312" w:hAnsi="Calibri" w:cs="Times New Roman" w:hint="eastAsia"/>
          <w:szCs w:val="21"/>
        </w:rPr>
        <w:t>与统计分析。</w:t>
      </w:r>
      <w:r w:rsidR="00971DE2">
        <w:rPr>
          <w:rFonts w:ascii="楷体_GB2312" w:eastAsia="楷体_GB2312" w:hAnsi="Calibri" w:cs="Times New Roman" w:hint="eastAsia"/>
          <w:szCs w:val="21"/>
        </w:rPr>
        <w:t>在调研的4</w:t>
      </w:r>
      <w:r w:rsidR="00462B06">
        <w:rPr>
          <w:rFonts w:ascii="楷体_GB2312" w:eastAsia="楷体_GB2312" w:hAnsi="Calibri" w:cs="Times New Roman" w:hint="eastAsia"/>
          <w:szCs w:val="21"/>
        </w:rPr>
        <w:t>2</w:t>
      </w:r>
      <w:r w:rsidR="00971DE2">
        <w:rPr>
          <w:rFonts w:ascii="楷体_GB2312" w:eastAsia="楷体_GB2312" w:hAnsi="Calibri" w:cs="Times New Roman" w:hint="eastAsia"/>
          <w:szCs w:val="21"/>
        </w:rPr>
        <w:t>家高校图书馆网站上有正式发布引进外文电子图书的信息，其中</w:t>
      </w:r>
      <w:r w:rsidR="00462B06">
        <w:rPr>
          <w:rFonts w:ascii="楷体_GB2312" w:eastAsia="楷体_GB2312" w:hAnsi="Calibri" w:cs="Times New Roman" w:hint="eastAsia"/>
          <w:szCs w:val="21"/>
        </w:rPr>
        <w:t>4</w:t>
      </w:r>
      <w:r w:rsidR="00971DE2">
        <w:rPr>
          <w:rFonts w:ascii="楷体_GB2312" w:eastAsia="楷体_GB2312" w:hAnsi="Calibri" w:cs="Times New Roman" w:hint="eastAsia"/>
          <w:szCs w:val="21"/>
        </w:rPr>
        <w:t>家图书馆</w:t>
      </w:r>
      <w:r w:rsidR="0099614E">
        <w:rPr>
          <w:rFonts w:ascii="楷体_GB2312" w:eastAsia="楷体_GB2312" w:hAnsi="Calibri" w:cs="Times New Roman" w:hint="eastAsia"/>
          <w:szCs w:val="21"/>
        </w:rPr>
        <w:t>没有引进由出版社直接提供或者是国外集成商提供的原版电子图书，而仅仅</w:t>
      </w:r>
      <w:r w:rsidR="00C13708">
        <w:rPr>
          <w:rFonts w:ascii="楷体_GB2312" w:eastAsia="楷体_GB2312" w:hAnsi="Calibri" w:cs="Times New Roman" w:hint="eastAsia"/>
          <w:szCs w:val="21"/>
        </w:rPr>
        <w:t>是引进了国内集成商提供的电子图书</w:t>
      </w:r>
      <w:r w:rsidR="0099614E">
        <w:rPr>
          <w:rFonts w:ascii="楷体_GB2312" w:eastAsia="楷体_GB2312" w:hAnsi="Calibri" w:cs="Times New Roman" w:hint="eastAsia"/>
          <w:szCs w:val="21"/>
        </w:rPr>
        <w:t>，因此不属于统计分析范围之内。</w:t>
      </w:r>
      <w:r w:rsidR="0099614E" w:rsidRPr="00BE4284">
        <w:rPr>
          <w:rFonts w:ascii="楷体_GB2312" w:eastAsia="楷体_GB2312" w:hAnsi="Calibri" w:cs="Times New Roman" w:hint="eastAsia"/>
          <w:color w:val="000000" w:themeColor="text1"/>
          <w:szCs w:val="21"/>
        </w:rPr>
        <w:t>最终本课题是针对</w:t>
      </w:r>
      <w:r w:rsidR="00462B06" w:rsidRPr="00BE4284">
        <w:rPr>
          <w:rFonts w:ascii="楷体_GB2312" w:eastAsia="楷体_GB2312" w:hAnsi="Calibri" w:cs="Times New Roman" w:hint="eastAsia"/>
          <w:color w:val="000000" w:themeColor="text1"/>
          <w:szCs w:val="21"/>
        </w:rPr>
        <w:t>38</w:t>
      </w:r>
      <w:r w:rsidR="0099614E" w:rsidRPr="00BE4284">
        <w:rPr>
          <w:rFonts w:ascii="楷体_GB2312" w:eastAsia="楷体_GB2312" w:hAnsi="Calibri" w:cs="Times New Roman" w:hint="eastAsia"/>
          <w:color w:val="000000" w:themeColor="text1"/>
          <w:szCs w:val="21"/>
        </w:rPr>
        <w:t>所高校引进的原版电子图书现状进行统计、调研与分析。</w:t>
      </w:r>
    </w:p>
    <w:p w:rsidR="00B45997" w:rsidRDefault="00B45997" w:rsidP="0007216F">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lastRenderedPageBreak/>
        <w:t>从总体上看，</w:t>
      </w:r>
      <w:r w:rsidR="008D0D7C">
        <w:rPr>
          <w:rFonts w:ascii="楷体_GB2312" w:eastAsia="楷体_GB2312" w:hAnsi="Calibri" w:cs="Times New Roman" w:hint="eastAsia"/>
          <w:szCs w:val="21"/>
        </w:rPr>
        <w:t>3</w:t>
      </w:r>
      <w:r w:rsidR="00173D29">
        <w:rPr>
          <w:rFonts w:ascii="楷体_GB2312" w:eastAsia="楷体_GB2312" w:hAnsi="Calibri" w:cs="Times New Roman" w:hint="eastAsia"/>
          <w:szCs w:val="21"/>
        </w:rPr>
        <w:t>8</w:t>
      </w:r>
      <w:r w:rsidR="008D0D7C">
        <w:rPr>
          <w:rFonts w:ascii="楷体_GB2312" w:eastAsia="楷体_GB2312" w:hAnsi="Calibri" w:cs="Times New Roman" w:hint="eastAsia"/>
          <w:szCs w:val="21"/>
        </w:rPr>
        <w:t>所高校中</w:t>
      </w:r>
      <w:r>
        <w:rPr>
          <w:rFonts w:ascii="楷体_GB2312" w:eastAsia="楷体_GB2312" w:hAnsi="Calibri" w:cs="Times New Roman" w:hint="eastAsia"/>
          <w:szCs w:val="21"/>
        </w:rPr>
        <w:t>有2</w:t>
      </w:r>
      <w:r w:rsidR="00041F44">
        <w:rPr>
          <w:rFonts w:ascii="楷体_GB2312" w:eastAsia="楷体_GB2312" w:hAnsi="Calibri" w:cs="Times New Roman" w:hint="eastAsia"/>
          <w:szCs w:val="21"/>
        </w:rPr>
        <w:t>6</w:t>
      </w:r>
      <w:r>
        <w:rPr>
          <w:rFonts w:ascii="楷体_GB2312" w:eastAsia="楷体_GB2312" w:hAnsi="Calibri" w:cs="Times New Roman" w:hint="eastAsia"/>
          <w:szCs w:val="21"/>
        </w:rPr>
        <w:t>家仅购买了出版社直接提供的原版电子图书</w:t>
      </w:r>
      <w:r w:rsidR="00860205">
        <w:rPr>
          <w:rFonts w:ascii="楷体_GB2312" w:eastAsia="楷体_GB2312" w:hAnsi="Calibri" w:cs="Times New Roman" w:hint="eastAsia"/>
          <w:szCs w:val="21"/>
        </w:rPr>
        <w:t>，占比</w:t>
      </w:r>
      <w:r w:rsidR="00041F44">
        <w:rPr>
          <w:rFonts w:ascii="楷体_GB2312" w:eastAsia="楷体_GB2312" w:hAnsi="Calibri" w:cs="Times New Roman" w:hint="eastAsia"/>
          <w:szCs w:val="21"/>
        </w:rPr>
        <w:t>68.42</w:t>
      </w:r>
      <w:r w:rsidR="00860205">
        <w:rPr>
          <w:rFonts w:ascii="楷体_GB2312" w:eastAsia="楷体_GB2312" w:hAnsi="Calibri" w:cs="Times New Roman" w:hint="eastAsia"/>
          <w:szCs w:val="21"/>
        </w:rPr>
        <w:t>%，</w:t>
      </w:r>
      <w:r>
        <w:rPr>
          <w:rFonts w:ascii="楷体_GB2312" w:eastAsia="楷体_GB2312" w:hAnsi="Calibri" w:cs="Times New Roman" w:hint="eastAsia"/>
          <w:szCs w:val="21"/>
        </w:rPr>
        <w:t>有1家仅购买了国外集成商提供的电子图书</w:t>
      </w:r>
      <w:r w:rsidR="00860205">
        <w:rPr>
          <w:rFonts w:ascii="楷体_GB2312" w:eastAsia="楷体_GB2312" w:hAnsi="Calibri" w:cs="Times New Roman" w:hint="eastAsia"/>
          <w:szCs w:val="21"/>
        </w:rPr>
        <w:t>，占比2.</w:t>
      </w:r>
      <w:r w:rsidR="00041F44">
        <w:rPr>
          <w:rFonts w:ascii="楷体_GB2312" w:eastAsia="楷体_GB2312" w:hAnsi="Calibri" w:cs="Times New Roman" w:hint="eastAsia"/>
          <w:szCs w:val="21"/>
        </w:rPr>
        <w:t>63</w:t>
      </w:r>
      <w:r w:rsidR="00860205">
        <w:rPr>
          <w:rFonts w:ascii="楷体_GB2312" w:eastAsia="楷体_GB2312" w:hAnsi="Calibri" w:cs="Times New Roman" w:hint="eastAsia"/>
          <w:szCs w:val="21"/>
        </w:rPr>
        <w:t>%</w:t>
      </w:r>
      <w:r>
        <w:rPr>
          <w:rFonts w:ascii="楷体_GB2312" w:eastAsia="楷体_GB2312" w:hAnsi="Calibri" w:cs="Times New Roman" w:hint="eastAsia"/>
          <w:szCs w:val="21"/>
        </w:rPr>
        <w:t>，另有1</w:t>
      </w:r>
      <w:r w:rsidR="00860205">
        <w:rPr>
          <w:rFonts w:ascii="楷体_GB2312" w:eastAsia="楷体_GB2312" w:hAnsi="Calibri" w:cs="Times New Roman" w:hint="eastAsia"/>
          <w:szCs w:val="21"/>
        </w:rPr>
        <w:t>1</w:t>
      </w:r>
      <w:r>
        <w:rPr>
          <w:rFonts w:ascii="楷体_GB2312" w:eastAsia="楷体_GB2312" w:hAnsi="Calibri" w:cs="Times New Roman" w:hint="eastAsia"/>
          <w:szCs w:val="21"/>
        </w:rPr>
        <w:t>家是二者均有购买</w:t>
      </w:r>
      <w:r w:rsidR="00860205">
        <w:rPr>
          <w:rFonts w:ascii="楷体_GB2312" w:eastAsia="楷体_GB2312" w:hAnsi="Calibri" w:cs="Times New Roman" w:hint="eastAsia"/>
          <w:szCs w:val="21"/>
        </w:rPr>
        <w:t>，占比</w:t>
      </w:r>
      <w:r w:rsidR="00041F44">
        <w:rPr>
          <w:rFonts w:ascii="楷体_GB2312" w:eastAsia="楷体_GB2312" w:hAnsi="Calibri" w:cs="Times New Roman" w:hint="eastAsia"/>
          <w:szCs w:val="21"/>
        </w:rPr>
        <w:t>28.95</w:t>
      </w:r>
      <w:r w:rsidR="00860205">
        <w:rPr>
          <w:rFonts w:ascii="楷体_GB2312" w:eastAsia="楷体_GB2312" w:hAnsi="Calibri" w:cs="Times New Roman" w:hint="eastAsia"/>
          <w:szCs w:val="21"/>
        </w:rPr>
        <w:t>%</w:t>
      </w:r>
      <w:r>
        <w:rPr>
          <w:rFonts w:ascii="楷体_GB2312" w:eastAsia="楷体_GB2312" w:hAnsi="Calibri" w:cs="Times New Roman" w:hint="eastAsia"/>
          <w:szCs w:val="21"/>
        </w:rPr>
        <w:t>。</w:t>
      </w:r>
      <w:r w:rsidR="00860205">
        <w:rPr>
          <w:rFonts w:ascii="楷体_GB2312" w:eastAsia="楷体_GB2312" w:hAnsi="Calibri" w:cs="Times New Roman" w:hint="eastAsia"/>
          <w:szCs w:val="21"/>
        </w:rPr>
        <w:t>可以看出</w:t>
      </w:r>
      <w:r w:rsidR="00BB54E6">
        <w:rPr>
          <w:rFonts w:ascii="楷体_GB2312" w:eastAsia="楷体_GB2312" w:hAnsi="Calibri" w:cs="Times New Roman" w:hint="eastAsia"/>
          <w:szCs w:val="21"/>
        </w:rPr>
        <w:t>各</w:t>
      </w:r>
      <w:r w:rsidR="00860205">
        <w:rPr>
          <w:rFonts w:ascii="楷体_GB2312" w:eastAsia="楷体_GB2312" w:hAnsi="Calibri" w:cs="Times New Roman" w:hint="eastAsia"/>
          <w:szCs w:val="21"/>
        </w:rPr>
        <w:t>高校图书馆在选择引进原版外文电子图书时，优先考虑的是引进图书的学术价值，直接从各学/协会出版社或者是国际著名的商业出版社引进该社出版的电子图书是保证质量的有效方法</w:t>
      </w:r>
      <w:r w:rsidR="008D0D7C">
        <w:rPr>
          <w:rFonts w:ascii="楷体_GB2312" w:eastAsia="楷体_GB2312" w:hAnsi="Calibri" w:cs="Times New Roman" w:hint="eastAsia"/>
          <w:szCs w:val="21"/>
        </w:rPr>
        <w:t>。</w:t>
      </w:r>
      <w:r w:rsidR="00BB54E6">
        <w:rPr>
          <w:rFonts w:ascii="楷体_GB2312" w:eastAsia="楷体_GB2312" w:hAnsi="Calibri" w:cs="Times New Roman" w:hint="eastAsia"/>
          <w:szCs w:val="21"/>
        </w:rPr>
        <w:t>鉴于出版社出版的电子图书与集成商提供的电子图书在数量、平均价格、销售模式上均有不同，</w:t>
      </w:r>
      <w:r w:rsidR="00794F43">
        <w:rPr>
          <w:rFonts w:ascii="楷体_GB2312" w:eastAsia="楷体_GB2312" w:hAnsi="Calibri" w:cs="Times New Roman" w:hint="eastAsia"/>
          <w:szCs w:val="21"/>
        </w:rPr>
        <w:t>因此</w:t>
      </w:r>
      <w:r w:rsidR="00BB54E6">
        <w:rPr>
          <w:rFonts w:ascii="楷体_GB2312" w:eastAsia="楷体_GB2312" w:hAnsi="Calibri" w:cs="Times New Roman" w:hint="eastAsia"/>
          <w:szCs w:val="21"/>
        </w:rPr>
        <w:t>下面则对这两种类型引进的电子图书情况分别进行分析。</w:t>
      </w:r>
    </w:p>
    <w:p w:rsidR="008D0D7C" w:rsidRPr="00BE37C4" w:rsidRDefault="00BB54E6" w:rsidP="00C37B70">
      <w:pPr>
        <w:pStyle w:val="3"/>
        <w:adjustRightInd w:val="0"/>
        <w:snapToGrid w:val="0"/>
        <w:spacing w:before="0" w:after="0" w:line="360" w:lineRule="auto"/>
        <w:rPr>
          <w:sz w:val="24"/>
          <w:szCs w:val="24"/>
        </w:rPr>
      </w:pPr>
      <w:r w:rsidRPr="00BE37C4">
        <w:rPr>
          <w:rFonts w:hint="eastAsia"/>
          <w:sz w:val="24"/>
          <w:szCs w:val="24"/>
        </w:rPr>
        <w:t>2.1.1</w:t>
      </w:r>
      <w:r w:rsidR="00794F43" w:rsidRPr="00BE37C4">
        <w:rPr>
          <w:rFonts w:hint="eastAsia"/>
          <w:sz w:val="24"/>
          <w:szCs w:val="24"/>
        </w:rPr>
        <w:t>农业高校引进出版社原版电子图书的现状分析</w:t>
      </w:r>
    </w:p>
    <w:p w:rsidR="00794F43" w:rsidRDefault="00794F43" w:rsidP="0007216F">
      <w:pPr>
        <w:adjustRightInd w:val="0"/>
        <w:snapToGrid w:val="0"/>
        <w:spacing w:line="360" w:lineRule="auto"/>
        <w:ind w:firstLineChars="200" w:firstLine="420"/>
        <w:rPr>
          <w:rFonts w:ascii="楷体_GB2312" w:eastAsia="楷体_GB2312" w:hAnsi="Calibri" w:cs="Times New Roman"/>
          <w:szCs w:val="21"/>
        </w:rPr>
      </w:pPr>
      <w:r w:rsidRPr="00794F43">
        <w:rPr>
          <w:rFonts w:ascii="楷体_GB2312" w:eastAsia="楷体_GB2312" w:hAnsi="Calibri" w:cs="Times New Roman" w:hint="eastAsia"/>
          <w:szCs w:val="21"/>
        </w:rPr>
        <w:t>在调研的38所涉农</w:t>
      </w:r>
      <w:r>
        <w:rPr>
          <w:rFonts w:ascii="楷体_GB2312" w:eastAsia="楷体_GB2312" w:hAnsi="Calibri" w:cs="Times New Roman" w:hint="eastAsia"/>
          <w:szCs w:val="21"/>
        </w:rPr>
        <w:t>高校中，有37家高校都引进了直接由出版社提供的原版电子图书</w:t>
      </w:r>
      <w:r w:rsidR="005641F3">
        <w:rPr>
          <w:rFonts w:ascii="楷体_GB2312" w:eastAsia="楷体_GB2312" w:hAnsi="Calibri" w:cs="Times New Roman" w:hint="eastAsia"/>
          <w:szCs w:val="21"/>
        </w:rPr>
        <w:t>（</w:t>
      </w:r>
      <w:r w:rsidR="00C81B76">
        <w:rPr>
          <w:rFonts w:ascii="楷体_GB2312" w:eastAsia="楷体_GB2312" w:hAnsi="Calibri" w:cs="Times New Roman" w:hint="eastAsia"/>
          <w:szCs w:val="21"/>
        </w:rPr>
        <w:t>电子图书总量及平台数量明细</w:t>
      </w:r>
      <w:r w:rsidR="005641F3">
        <w:rPr>
          <w:rFonts w:ascii="楷体_GB2312" w:eastAsia="楷体_GB2312" w:hAnsi="Calibri" w:cs="Times New Roman" w:hint="eastAsia"/>
          <w:szCs w:val="21"/>
        </w:rPr>
        <w:t>见</w:t>
      </w:r>
      <w:r w:rsidR="005641F3" w:rsidRPr="00BE4284">
        <w:rPr>
          <w:rFonts w:ascii="楷体_GB2312" w:eastAsia="楷体_GB2312" w:hAnsi="Calibri" w:cs="Times New Roman" w:hint="eastAsia"/>
          <w:szCs w:val="21"/>
        </w:rPr>
        <w:t>附表1</w:t>
      </w:r>
      <w:r w:rsidR="005641F3">
        <w:rPr>
          <w:rFonts w:ascii="楷体_GB2312" w:eastAsia="楷体_GB2312" w:hAnsi="Calibri" w:cs="Times New Roman" w:hint="eastAsia"/>
          <w:szCs w:val="21"/>
        </w:rPr>
        <w:t>）</w:t>
      </w:r>
      <w:r w:rsidR="00C81B76">
        <w:rPr>
          <w:rFonts w:ascii="楷体_GB2312" w:eastAsia="楷体_GB2312" w:hAnsi="Calibri" w:cs="Times New Roman" w:hint="eastAsia"/>
          <w:szCs w:val="21"/>
        </w:rPr>
        <w:t>。</w:t>
      </w:r>
      <w:r w:rsidR="00760D9B">
        <w:rPr>
          <w:rFonts w:ascii="楷体_GB2312" w:eastAsia="楷体_GB2312" w:hAnsi="Calibri" w:cs="Times New Roman" w:hint="eastAsia"/>
          <w:szCs w:val="21"/>
        </w:rPr>
        <w:t>从平台数量上看，有17家只选择了一个出版社的电子图书，即来源于一个</w:t>
      </w:r>
      <w:r w:rsidR="009342B8">
        <w:rPr>
          <w:rFonts w:ascii="楷体_GB2312" w:eastAsia="楷体_GB2312" w:hAnsi="Calibri" w:cs="Times New Roman" w:hint="eastAsia"/>
          <w:szCs w:val="21"/>
        </w:rPr>
        <w:t>平台；从引进电子图书的总量上看，有18家引进数量少于500册，</w:t>
      </w:r>
      <w:r w:rsidR="00760D9B">
        <w:rPr>
          <w:rFonts w:ascii="楷体_GB2312" w:eastAsia="楷体_GB2312" w:hAnsi="Calibri" w:cs="Times New Roman" w:hint="eastAsia"/>
          <w:szCs w:val="21"/>
        </w:rPr>
        <w:t>具体统计见</w:t>
      </w:r>
      <w:r w:rsidR="005978D0">
        <w:rPr>
          <w:rFonts w:ascii="楷体_GB2312" w:eastAsia="楷体_GB2312" w:hAnsi="Calibri" w:cs="Times New Roman" w:hint="eastAsia"/>
          <w:szCs w:val="21"/>
        </w:rPr>
        <w:t>下图。</w:t>
      </w:r>
    </w:p>
    <w:p w:rsidR="00760D9B" w:rsidRDefault="002F5524" w:rsidP="00794F43">
      <w:pPr>
        <w:ind w:firstLineChars="200" w:firstLine="420"/>
        <w:rPr>
          <w:rFonts w:ascii="楷体_GB2312" w:eastAsia="楷体_GB2312" w:hAnsi="Calibri" w:cs="Times New Roman"/>
          <w:szCs w:val="21"/>
        </w:rPr>
      </w:pPr>
      <w:r>
        <w:rPr>
          <w:noProof/>
        </w:rPr>
        <w:drawing>
          <wp:inline distT="0" distB="0" distL="0" distR="0">
            <wp:extent cx="4937760" cy="2218414"/>
            <wp:effectExtent l="19050" t="0" r="152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4F43" w:rsidRDefault="0007216F" w:rsidP="0007216F">
      <w:pPr>
        <w:jc w:val="center"/>
        <w:rPr>
          <w:rFonts w:ascii="楷体_GB2312" w:eastAsia="楷体_GB2312" w:hAnsi="Calibri" w:cs="Times New Roman"/>
          <w:szCs w:val="21"/>
        </w:rPr>
      </w:pPr>
      <w:r>
        <w:rPr>
          <w:rFonts w:ascii="楷体_GB2312" w:eastAsia="楷体_GB2312" w:hAnsi="Calibri" w:cs="Times New Roman" w:hint="eastAsia"/>
          <w:szCs w:val="21"/>
        </w:rPr>
        <w:t xml:space="preserve">图1 </w:t>
      </w:r>
      <w:r w:rsidR="00D10E4E">
        <w:rPr>
          <w:rFonts w:ascii="楷体_GB2312" w:eastAsia="楷体_GB2312" w:hAnsi="Calibri" w:cs="Times New Roman" w:hint="eastAsia"/>
          <w:szCs w:val="21"/>
        </w:rPr>
        <w:t>农业</w:t>
      </w:r>
      <w:r>
        <w:rPr>
          <w:rFonts w:ascii="楷体_GB2312" w:eastAsia="楷体_GB2312" w:hAnsi="Calibri" w:cs="Times New Roman" w:hint="eastAsia"/>
          <w:szCs w:val="21"/>
        </w:rPr>
        <w:t>高校引进原版电子图书平台数量分布统计</w:t>
      </w:r>
    </w:p>
    <w:p w:rsidR="0007216F" w:rsidRDefault="0007216F" w:rsidP="0007216F">
      <w:pPr>
        <w:jc w:val="center"/>
        <w:rPr>
          <w:rFonts w:ascii="楷体_GB2312" w:eastAsia="楷体_GB2312" w:hAnsi="Calibri" w:cs="Times New Roman"/>
          <w:szCs w:val="21"/>
        </w:rPr>
      </w:pPr>
    </w:p>
    <w:p w:rsidR="00794F43" w:rsidRDefault="009342B8" w:rsidP="00D10E4E">
      <w:pPr>
        <w:ind w:leftChars="202" w:left="424"/>
        <w:rPr>
          <w:rFonts w:ascii="楷体_GB2312" w:eastAsia="楷体_GB2312" w:hAnsi="Calibri" w:cs="Times New Roman"/>
          <w:szCs w:val="21"/>
        </w:rPr>
      </w:pPr>
      <w:r>
        <w:rPr>
          <w:noProof/>
        </w:rPr>
        <w:drawing>
          <wp:inline distT="0" distB="0" distL="0" distR="0">
            <wp:extent cx="4993419" cy="2449002"/>
            <wp:effectExtent l="19050" t="0" r="16731" b="8448"/>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216F" w:rsidRDefault="0007216F" w:rsidP="0007216F">
      <w:pPr>
        <w:jc w:val="center"/>
        <w:rPr>
          <w:rFonts w:ascii="楷体_GB2312" w:eastAsia="楷体_GB2312" w:hAnsi="Calibri" w:cs="Times New Roman"/>
          <w:szCs w:val="21"/>
        </w:rPr>
      </w:pPr>
      <w:r>
        <w:rPr>
          <w:rFonts w:ascii="楷体_GB2312" w:eastAsia="楷体_GB2312" w:hAnsi="Calibri" w:cs="Times New Roman" w:hint="eastAsia"/>
          <w:szCs w:val="21"/>
        </w:rPr>
        <w:t xml:space="preserve">图2 </w:t>
      </w:r>
      <w:r w:rsidR="00D10E4E">
        <w:rPr>
          <w:rFonts w:ascii="楷体_GB2312" w:eastAsia="楷体_GB2312" w:hAnsi="Calibri" w:cs="Times New Roman" w:hint="eastAsia"/>
          <w:szCs w:val="21"/>
        </w:rPr>
        <w:t>农业</w:t>
      </w:r>
      <w:r>
        <w:rPr>
          <w:rFonts w:ascii="楷体_GB2312" w:eastAsia="楷体_GB2312" w:hAnsi="Calibri" w:cs="Times New Roman" w:hint="eastAsia"/>
          <w:szCs w:val="21"/>
        </w:rPr>
        <w:t>高校引进电子图书数量分布统计</w:t>
      </w:r>
    </w:p>
    <w:p w:rsidR="009F7BA9" w:rsidRDefault="005978D0" w:rsidP="00B2221E">
      <w:pPr>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图1为37所高校从不同出版社直接引进原版电子图书的平台数分布统计，</w:t>
      </w:r>
      <w:r w:rsidR="000C0739">
        <w:rPr>
          <w:rFonts w:ascii="楷体_GB2312" w:eastAsia="楷体_GB2312" w:hAnsi="Calibri" w:cs="Times New Roman" w:hint="eastAsia"/>
          <w:szCs w:val="21"/>
        </w:rPr>
        <w:t>其中</w:t>
      </w:r>
      <w:r>
        <w:rPr>
          <w:rFonts w:ascii="楷体_GB2312" w:eastAsia="楷体_GB2312" w:hAnsi="Calibri" w:cs="Times New Roman" w:hint="eastAsia"/>
          <w:szCs w:val="21"/>
        </w:rPr>
        <w:t>引进电</w:t>
      </w:r>
      <w:r>
        <w:rPr>
          <w:rFonts w:ascii="楷体_GB2312" w:eastAsia="楷体_GB2312" w:hAnsi="Calibri" w:cs="Times New Roman" w:hint="eastAsia"/>
          <w:szCs w:val="21"/>
        </w:rPr>
        <w:lastRenderedPageBreak/>
        <w:t>子图书超过3个出版社以上的学校</w:t>
      </w:r>
      <w:r w:rsidR="009F7BA9">
        <w:rPr>
          <w:rFonts w:ascii="楷体_GB2312" w:eastAsia="楷体_GB2312" w:hAnsi="Calibri" w:cs="Times New Roman" w:hint="eastAsia"/>
          <w:szCs w:val="21"/>
        </w:rPr>
        <w:t>仅占10.81%，绝大多数的学校仅仅引进了1-2个出版社的电子图书。图2是37所高校引进原版电子图书的数量分布统计，其中引进电子图书总量不足500册的学校为18所，占比达到了48.65%，引进电子图书超过10000册以上的学校为9所，占比为24.32%。</w:t>
      </w:r>
      <w:r w:rsidR="0027013F">
        <w:rPr>
          <w:rFonts w:ascii="楷体_GB2312" w:eastAsia="楷体_GB2312" w:hAnsi="Calibri" w:cs="Times New Roman" w:hint="eastAsia"/>
          <w:szCs w:val="21"/>
        </w:rPr>
        <w:t>从图1、2中可以看出涉农高校所引进的原版电子图书无论是平台数量还是图书总量都</w:t>
      </w:r>
      <w:r w:rsidR="000136C8">
        <w:rPr>
          <w:rFonts w:ascii="楷体_GB2312" w:eastAsia="楷体_GB2312" w:hAnsi="Calibri" w:cs="Times New Roman" w:hint="eastAsia"/>
          <w:szCs w:val="21"/>
        </w:rPr>
        <w:t>非常少，</w:t>
      </w:r>
      <w:r w:rsidR="00F96B4F">
        <w:rPr>
          <w:rFonts w:ascii="楷体_GB2312" w:eastAsia="楷体_GB2312" w:hAnsi="Calibri" w:cs="Times New Roman" w:hint="eastAsia"/>
          <w:szCs w:val="21"/>
        </w:rPr>
        <w:t>尤其是到目前为止只引进了一家出版社电子图书的学校，不仅引进数量少而且连续性也没有保障，</w:t>
      </w:r>
      <w:r w:rsidR="000136C8">
        <w:rPr>
          <w:rFonts w:ascii="楷体_GB2312" w:eastAsia="楷体_GB2312" w:hAnsi="Calibri" w:cs="Times New Roman" w:hint="eastAsia"/>
          <w:szCs w:val="21"/>
        </w:rPr>
        <w:t>可以说这些学校在原版电子图书的建设上处于刚起步状态，距离为本校的教学科研提供保障性服务还相差甚远</w:t>
      </w:r>
      <w:r w:rsidR="00F96B4F">
        <w:rPr>
          <w:rFonts w:ascii="楷体_GB2312" w:eastAsia="楷体_GB2312" w:hAnsi="Calibri" w:cs="Times New Roman" w:hint="eastAsia"/>
          <w:szCs w:val="21"/>
        </w:rPr>
        <w:t>。</w:t>
      </w:r>
    </w:p>
    <w:p w:rsidR="009F7BA9" w:rsidRPr="00BE37C4" w:rsidRDefault="009F7BA9" w:rsidP="00C37B70">
      <w:pPr>
        <w:pStyle w:val="3"/>
        <w:adjustRightInd w:val="0"/>
        <w:snapToGrid w:val="0"/>
        <w:spacing w:before="0" w:after="0" w:line="360" w:lineRule="auto"/>
        <w:rPr>
          <w:sz w:val="24"/>
          <w:szCs w:val="24"/>
        </w:rPr>
      </w:pPr>
      <w:r w:rsidRPr="00BE37C4">
        <w:rPr>
          <w:rFonts w:hint="eastAsia"/>
          <w:sz w:val="24"/>
          <w:szCs w:val="24"/>
        </w:rPr>
        <w:t>2.1.2</w:t>
      </w:r>
      <w:r w:rsidRPr="00BE37C4">
        <w:rPr>
          <w:rFonts w:hint="eastAsia"/>
          <w:sz w:val="24"/>
          <w:szCs w:val="24"/>
        </w:rPr>
        <w:t>农业高校引进</w:t>
      </w:r>
      <w:r w:rsidR="002C7C86" w:rsidRPr="00BE37C4">
        <w:rPr>
          <w:rFonts w:hint="eastAsia"/>
          <w:sz w:val="24"/>
          <w:szCs w:val="24"/>
        </w:rPr>
        <w:t>集成商</w:t>
      </w:r>
      <w:r w:rsidRPr="00BE37C4">
        <w:rPr>
          <w:rFonts w:hint="eastAsia"/>
          <w:sz w:val="24"/>
          <w:szCs w:val="24"/>
        </w:rPr>
        <w:t>原版电子图书的现状分析</w:t>
      </w:r>
    </w:p>
    <w:p w:rsidR="009F7BA9" w:rsidRPr="009F7BA9" w:rsidRDefault="00B2221E" w:rsidP="00B2221E">
      <w:pPr>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目前，很多高校在从出版社直接引进原版电子图书外，同时选择引进由国外数据库集成商提供的原版电子图书。与出版社提供的电子图书相比较，集成商提供的电子图书具有优劣并存的特点，其</w:t>
      </w:r>
      <w:r w:rsidR="00525116">
        <w:rPr>
          <w:rFonts w:ascii="楷体_GB2312" w:eastAsia="楷体_GB2312" w:hAnsi="Calibri" w:cs="Times New Roman" w:hint="eastAsia"/>
          <w:szCs w:val="21"/>
        </w:rPr>
        <w:t>中</w:t>
      </w:r>
      <w:r>
        <w:rPr>
          <w:rFonts w:ascii="楷体_GB2312" w:eastAsia="楷体_GB2312" w:hAnsi="Calibri" w:cs="Times New Roman" w:hint="eastAsia"/>
          <w:szCs w:val="21"/>
        </w:rPr>
        <w:t>最大的优点是平台</w:t>
      </w:r>
      <w:r w:rsidR="00525116">
        <w:rPr>
          <w:rFonts w:ascii="楷体_GB2312" w:eastAsia="楷体_GB2312" w:hAnsi="Calibri" w:cs="Times New Roman" w:hint="eastAsia"/>
          <w:szCs w:val="21"/>
        </w:rPr>
        <w:t>统一</w:t>
      </w:r>
      <w:r>
        <w:rPr>
          <w:rFonts w:ascii="楷体_GB2312" w:eastAsia="楷体_GB2312" w:hAnsi="Calibri" w:cs="Times New Roman" w:hint="eastAsia"/>
          <w:szCs w:val="21"/>
        </w:rPr>
        <w:t>、</w:t>
      </w:r>
      <w:r w:rsidR="00525116">
        <w:rPr>
          <w:rFonts w:ascii="楷体_GB2312" w:eastAsia="楷体_GB2312" w:hAnsi="Calibri" w:cs="Times New Roman" w:hint="eastAsia"/>
          <w:szCs w:val="21"/>
        </w:rPr>
        <w:t>图书数量巨大</w:t>
      </w:r>
      <w:r>
        <w:rPr>
          <w:rFonts w:ascii="楷体_GB2312" w:eastAsia="楷体_GB2312" w:hAnsi="Calibri" w:cs="Times New Roman" w:hint="eastAsia"/>
          <w:szCs w:val="21"/>
        </w:rPr>
        <w:t>，学科覆盖面广，单册图书平均价格便宜</w:t>
      </w:r>
      <w:r w:rsidR="00525116">
        <w:rPr>
          <w:rFonts w:ascii="楷体_GB2312" w:eastAsia="楷体_GB2312" w:hAnsi="Calibri" w:cs="Times New Roman" w:hint="eastAsia"/>
          <w:szCs w:val="21"/>
        </w:rPr>
        <w:t>；而其缺点则在于图书的内容质量参差不齐、新旧程度不统一，引进模式多为租用方式。因此，高校同时引进出版社提供的原版电子图书与集成商提供的原版电子图书，其目的是将二者的特点进行互补，使有限的经费得到充分的利用以期达到</w:t>
      </w:r>
      <w:r w:rsidR="000D6400">
        <w:rPr>
          <w:rFonts w:ascii="楷体_GB2312" w:eastAsia="楷体_GB2312" w:hAnsi="Calibri" w:cs="Times New Roman" w:hint="eastAsia"/>
          <w:szCs w:val="21"/>
        </w:rPr>
        <w:t>最佳的性价比。在所调研的</w:t>
      </w:r>
      <w:r w:rsidR="00AC2983">
        <w:rPr>
          <w:rFonts w:ascii="楷体_GB2312" w:eastAsia="楷体_GB2312" w:hAnsi="Calibri" w:cs="Times New Roman" w:hint="eastAsia"/>
          <w:szCs w:val="21"/>
        </w:rPr>
        <w:t>38所高校中有12家引进了由国外集成商提供的原版电子图书</w:t>
      </w:r>
      <w:r w:rsidR="00AC2983" w:rsidRPr="00BE4284">
        <w:rPr>
          <w:rFonts w:ascii="楷体_GB2312" w:eastAsia="楷体_GB2312" w:hAnsi="Calibri" w:cs="Times New Roman" w:hint="eastAsia"/>
          <w:szCs w:val="21"/>
        </w:rPr>
        <w:t>（附表2），</w:t>
      </w:r>
      <w:r w:rsidR="00AC2983">
        <w:rPr>
          <w:rFonts w:ascii="楷体_GB2312" w:eastAsia="楷体_GB2312" w:hAnsi="Calibri" w:cs="Times New Roman" w:hint="eastAsia"/>
          <w:szCs w:val="21"/>
        </w:rPr>
        <w:t xml:space="preserve"> 这12</w:t>
      </w:r>
      <w:r w:rsidR="002D1124">
        <w:rPr>
          <w:rFonts w:ascii="楷体_GB2312" w:eastAsia="楷体_GB2312" w:hAnsi="Calibri" w:cs="Times New Roman" w:hint="eastAsia"/>
          <w:szCs w:val="21"/>
        </w:rPr>
        <w:t>家高校的引进内容非常接近，全部集中在以下</w:t>
      </w:r>
      <w:r w:rsidR="00AC2983">
        <w:rPr>
          <w:rFonts w:ascii="楷体_GB2312" w:eastAsia="楷体_GB2312" w:hAnsi="Calibri" w:cs="Times New Roman" w:hint="eastAsia"/>
          <w:szCs w:val="21"/>
        </w:rPr>
        <w:t>三个</w:t>
      </w:r>
      <w:r w:rsidR="002D1124">
        <w:rPr>
          <w:rFonts w:ascii="楷体_GB2312" w:eastAsia="楷体_GB2312" w:hAnsi="Calibri" w:cs="Times New Roman" w:hint="eastAsia"/>
          <w:szCs w:val="21"/>
        </w:rPr>
        <w:t>产品。</w:t>
      </w:r>
    </w:p>
    <w:p w:rsidR="009342B8" w:rsidRPr="00047E8A" w:rsidRDefault="002D1124" w:rsidP="00550396">
      <w:pPr>
        <w:pStyle w:val="a7"/>
        <w:numPr>
          <w:ilvl w:val="0"/>
          <w:numId w:val="3"/>
        </w:numPr>
        <w:spacing w:line="360" w:lineRule="auto"/>
        <w:ind w:left="0" w:firstLineChars="0" w:firstLine="0"/>
        <w:rPr>
          <w:rFonts w:ascii="楷体_GB2312" w:eastAsia="楷体_GB2312" w:hAnsi="Calibri" w:cs="Times New Roman"/>
          <w:szCs w:val="21"/>
        </w:rPr>
      </w:pPr>
      <w:r w:rsidRPr="00047E8A">
        <w:rPr>
          <w:rFonts w:ascii="楷体_GB2312" w:eastAsia="楷体_GB2312" w:hAnsi="Calibri" w:cs="Times New Roman" w:hint="eastAsia"/>
          <w:szCs w:val="21"/>
        </w:rPr>
        <w:t>美国ProQuest公司的</w:t>
      </w:r>
      <w:r w:rsidR="00F95348" w:rsidRPr="00047E8A">
        <w:rPr>
          <w:rFonts w:ascii="楷体_GB2312" w:eastAsia="楷体_GB2312" w:hAnsi="Calibri" w:cs="Times New Roman"/>
          <w:szCs w:val="21"/>
        </w:rPr>
        <w:t>ebrary 电子书</w:t>
      </w:r>
      <w:r w:rsidRPr="00047E8A">
        <w:rPr>
          <w:rFonts w:ascii="楷体_GB2312" w:eastAsia="楷体_GB2312" w:hAnsi="Calibri" w:cs="Times New Roman" w:hint="eastAsia"/>
          <w:szCs w:val="21"/>
        </w:rPr>
        <w:t>，</w:t>
      </w:r>
      <w:r w:rsidR="00F95348" w:rsidRPr="00047E8A">
        <w:rPr>
          <w:rFonts w:ascii="楷体_GB2312" w:eastAsia="楷体_GB2312" w:hAnsi="Calibri" w:cs="Times New Roman"/>
          <w:szCs w:val="21"/>
        </w:rPr>
        <w:t>收录来自全球1000多家大学出版社、专业出版商、学术出版机构等出版的90多万册图书和文献，覆盖历史与政治学、科学与技术、社会学、医学、法律、商业与经济、宗教与哲学、文学与语言、艺术和教育学等领域。截至目前，ebrary</w:t>
      </w:r>
      <w:r w:rsidR="00047E8A" w:rsidRPr="00047E8A">
        <w:rPr>
          <w:rFonts w:ascii="楷体_GB2312" w:eastAsia="楷体_GB2312" w:hAnsi="Calibri" w:cs="Times New Roman" w:hint="eastAsia"/>
          <w:szCs w:val="21"/>
        </w:rPr>
        <w:t>电子图书在国内销售</w:t>
      </w:r>
      <w:r w:rsidR="00F95348" w:rsidRPr="00047E8A">
        <w:rPr>
          <w:rFonts w:ascii="楷体_GB2312" w:eastAsia="楷体_GB2312" w:hAnsi="Calibri" w:cs="Times New Roman"/>
          <w:szCs w:val="21"/>
        </w:rPr>
        <w:t>的综合学术类书库（Academic Complete</w:t>
      </w:r>
      <w:r w:rsidR="00F95348" w:rsidRPr="00047E8A">
        <w:rPr>
          <w:rFonts w:ascii="楷体_GB2312" w:eastAsia="楷体_GB2312" w:hAnsi="Calibri" w:cs="Times New Roman"/>
          <w:szCs w:val="21"/>
        </w:rPr>
        <w:t>™</w:t>
      </w:r>
      <w:r w:rsidR="00F95348" w:rsidRPr="00047E8A">
        <w:rPr>
          <w:rFonts w:ascii="楷体_GB2312" w:eastAsia="楷体_GB2312" w:hAnsi="Calibri" w:cs="Times New Roman"/>
          <w:szCs w:val="21"/>
        </w:rPr>
        <w:t>）中，收录了超过12万册的电子图书。</w:t>
      </w:r>
    </w:p>
    <w:p w:rsidR="00F95348" w:rsidRDefault="00047E8A" w:rsidP="00550396">
      <w:pPr>
        <w:pStyle w:val="a7"/>
        <w:numPr>
          <w:ilvl w:val="0"/>
          <w:numId w:val="3"/>
        </w:numPr>
        <w:spacing w:line="360" w:lineRule="auto"/>
        <w:ind w:left="0" w:firstLineChars="0" w:firstLine="0"/>
        <w:rPr>
          <w:rFonts w:ascii="楷体_GB2312" w:eastAsia="楷体_GB2312" w:hAnsi="Calibri" w:cs="Times New Roman"/>
          <w:szCs w:val="21"/>
        </w:rPr>
      </w:pPr>
      <w:r w:rsidRPr="00047E8A">
        <w:rPr>
          <w:rFonts w:ascii="楷体_GB2312" w:eastAsia="楷体_GB2312" w:hAnsi="Calibri" w:cs="Times New Roman" w:hint="eastAsia"/>
          <w:szCs w:val="21"/>
        </w:rPr>
        <w:t>美国EBSCO公司的</w:t>
      </w:r>
      <w:r w:rsidRPr="00047E8A">
        <w:rPr>
          <w:rFonts w:ascii="楷体_GB2312" w:eastAsia="楷体_GB2312" w:hAnsi="Calibri" w:cs="Times New Roman"/>
          <w:szCs w:val="21"/>
        </w:rPr>
        <w:t>EBSCO eBook Collection</w:t>
      </w:r>
      <w:r w:rsidRPr="00047E8A">
        <w:rPr>
          <w:rFonts w:ascii="楷体_GB2312" w:eastAsia="楷体_GB2312" w:hAnsi="Calibri" w:cs="Times New Roman" w:hint="eastAsia"/>
          <w:szCs w:val="21"/>
        </w:rPr>
        <w:t>，这个产品的前身为OCLC下的</w:t>
      </w:r>
      <w:r w:rsidRPr="00047E8A">
        <w:rPr>
          <w:rFonts w:ascii="楷体_GB2312" w:eastAsia="楷体_GB2312" w:hAnsi="Calibri" w:cs="Times New Roman"/>
          <w:szCs w:val="21"/>
        </w:rPr>
        <w:t>NetLibrary</w:t>
      </w:r>
      <w:r w:rsidRPr="00047E8A">
        <w:rPr>
          <w:rFonts w:ascii="楷体_GB2312" w:eastAsia="楷体_GB2312" w:hAnsi="Calibri" w:cs="Times New Roman" w:hint="eastAsia"/>
          <w:szCs w:val="21"/>
        </w:rPr>
        <w:t>电子图书，2010年被EBSCO公司收购。目前</w:t>
      </w:r>
      <w:r w:rsidR="00F95348" w:rsidRPr="00047E8A">
        <w:rPr>
          <w:rFonts w:ascii="楷体_GB2312" w:eastAsia="楷体_GB2312" w:hAnsi="Calibri" w:cs="Times New Roman"/>
          <w:szCs w:val="21"/>
        </w:rPr>
        <w:t>EBSCO eBook Collection电子图书数据库目前提供了700多个出版商的电子图书,覆盖了全部的学术领域以及普通阅读和通俗阅读领域</w:t>
      </w:r>
      <w:r w:rsidRPr="00047E8A">
        <w:rPr>
          <w:rFonts w:ascii="楷体_GB2312" w:eastAsia="楷体_GB2312" w:hAnsi="Calibri" w:cs="Times New Roman" w:hint="eastAsia"/>
          <w:szCs w:val="21"/>
        </w:rPr>
        <w:t>。</w:t>
      </w:r>
    </w:p>
    <w:p w:rsidR="00F95348" w:rsidRPr="00C93E81" w:rsidRDefault="00C93E81" w:rsidP="00550396">
      <w:pPr>
        <w:pStyle w:val="a7"/>
        <w:numPr>
          <w:ilvl w:val="0"/>
          <w:numId w:val="3"/>
        </w:numPr>
        <w:spacing w:line="360" w:lineRule="auto"/>
        <w:ind w:left="0" w:firstLineChars="0" w:firstLine="0"/>
        <w:rPr>
          <w:rFonts w:ascii="楷体_GB2312" w:eastAsia="楷体_GB2312" w:hAnsi="Calibri" w:cs="Times New Roman"/>
          <w:szCs w:val="21"/>
        </w:rPr>
      </w:pPr>
      <w:r w:rsidRPr="00C93E81">
        <w:rPr>
          <w:rFonts w:ascii="楷体_GB2312" w:eastAsia="楷体_GB2312" w:hAnsi="Calibri" w:cs="Times New Roman" w:hint="eastAsia"/>
          <w:szCs w:val="21"/>
        </w:rPr>
        <w:t>世界公共图书馆联盟（World Public Library Association，WPLA）</w:t>
      </w:r>
      <w:r>
        <w:rPr>
          <w:rFonts w:ascii="楷体_GB2312" w:eastAsia="楷体_GB2312" w:hAnsi="Calibri" w:cs="Times New Roman" w:hint="eastAsia"/>
          <w:szCs w:val="21"/>
        </w:rPr>
        <w:t>提供的</w:t>
      </w:r>
      <w:r w:rsidR="00F95348" w:rsidRPr="00C93E81">
        <w:rPr>
          <w:rFonts w:ascii="楷体_GB2312" w:eastAsia="楷体_GB2312" w:hAnsi="Calibri" w:cs="Times New Roman" w:hint="eastAsia"/>
          <w:szCs w:val="21"/>
        </w:rPr>
        <w:t>世界电子图书馆藏（World eBook Library，WeL），WPLA成立于1966年，是非营利性的世界组织。WeL的资源内容覆盖了31个学科大类，共计152个学科种类（如文学，历史，政治，社会学，教育，经济，法律，戏剧等学科），以人文社会科学为主，还包括自然科学、农学、医学、工程技术等领域的经典文学作品、书籍、期刊、百科全书、字典、手册等参考资源</w:t>
      </w:r>
      <w:r w:rsidR="00550396">
        <w:rPr>
          <w:rFonts w:ascii="楷体_GB2312" w:eastAsia="楷体_GB2312" w:hAnsi="Calibri" w:cs="Times New Roman" w:hint="eastAsia"/>
          <w:szCs w:val="21"/>
        </w:rPr>
        <w:t>。</w:t>
      </w:r>
    </w:p>
    <w:p w:rsidR="00F95348" w:rsidRPr="005978D0" w:rsidRDefault="00C87999" w:rsidP="00A406B3">
      <w:pPr>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lastRenderedPageBreak/>
        <w:t>在这12家引进了集成商</w:t>
      </w:r>
      <w:r w:rsidR="00D978E8">
        <w:rPr>
          <w:rFonts w:ascii="楷体_GB2312" w:eastAsia="楷体_GB2312" w:hAnsi="Calibri" w:cs="Times New Roman" w:hint="eastAsia"/>
          <w:szCs w:val="21"/>
        </w:rPr>
        <w:t>所</w:t>
      </w:r>
      <w:r>
        <w:rPr>
          <w:rFonts w:ascii="楷体_GB2312" w:eastAsia="楷体_GB2312" w:hAnsi="Calibri" w:cs="Times New Roman" w:hint="eastAsia"/>
          <w:szCs w:val="21"/>
        </w:rPr>
        <w:t>提供电子图书</w:t>
      </w:r>
      <w:r w:rsidR="00D978E8">
        <w:rPr>
          <w:rFonts w:ascii="楷体_GB2312" w:eastAsia="楷体_GB2312" w:hAnsi="Calibri" w:cs="Times New Roman" w:hint="eastAsia"/>
          <w:szCs w:val="21"/>
        </w:rPr>
        <w:t>的</w:t>
      </w:r>
      <w:r>
        <w:rPr>
          <w:rFonts w:ascii="楷体_GB2312" w:eastAsia="楷体_GB2312" w:hAnsi="Calibri" w:cs="Times New Roman" w:hint="eastAsia"/>
          <w:szCs w:val="21"/>
        </w:rPr>
        <w:t>高校中，只有1家高校是同时引进了两个公司的产品，而其余11家高校</w:t>
      </w:r>
      <w:r w:rsidR="00D978E8">
        <w:rPr>
          <w:rFonts w:ascii="楷体_GB2312" w:eastAsia="楷体_GB2312" w:hAnsi="Calibri" w:cs="Times New Roman" w:hint="eastAsia"/>
          <w:szCs w:val="21"/>
        </w:rPr>
        <w:t>则</w:t>
      </w:r>
      <w:r>
        <w:rPr>
          <w:rFonts w:ascii="楷体_GB2312" w:eastAsia="楷体_GB2312" w:hAnsi="Calibri" w:cs="Times New Roman" w:hint="eastAsia"/>
          <w:szCs w:val="21"/>
        </w:rPr>
        <w:t>都是选择</w:t>
      </w:r>
      <w:r w:rsidR="00D978E8">
        <w:rPr>
          <w:rFonts w:ascii="楷体_GB2312" w:eastAsia="楷体_GB2312" w:hAnsi="Calibri" w:cs="Times New Roman" w:hint="eastAsia"/>
          <w:szCs w:val="21"/>
        </w:rPr>
        <w:t>了</w:t>
      </w:r>
      <w:r>
        <w:rPr>
          <w:rFonts w:ascii="楷体_GB2312" w:eastAsia="楷体_GB2312" w:hAnsi="Calibri" w:cs="Times New Roman" w:hint="eastAsia"/>
          <w:szCs w:val="21"/>
        </w:rPr>
        <w:t>上面3家公司产品中的一个</w:t>
      </w:r>
      <w:r w:rsidR="00D978E8">
        <w:rPr>
          <w:rFonts w:ascii="楷体_GB2312" w:eastAsia="楷体_GB2312" w:hAnsi="Calibri" w:cs="Times New Roman" w:hint="eastAsia"/>
          <w:szCs w:val="21"/>
        </w:rPr>
        <w:t>，而且引进数量多在5000册—10000</w:t>
      </w:r>
      <w:r w:rsidR="00A406B3">
        <w:rPr>
          <w:rFonts w:ascii="楷体_GB2312" w:eastAsia="楷体_GB2312" w:hAnsi="Calibri" w:cs="Times New Roman" w:hint="eastAsia"/>
          <w:szCs w:val="21"/>
        </w:rPr>
        <w:t>册之间，甚至超过万册以上。</w:t>
      </w:r>
      <w:r w:rsidR="00DA01D2">
        <w:rPr>
          <w:rFonts w:ascii="楷体_GB2312" w:eastAsia="楷体_GB2312" w:hAnsi="Calibri" w:cs="Times New Roman" w:hint="eastAsia"/>
          <w:szCs w:val="21"/>
        </w:rPr>
        <w:t>与引进出版社的电子图书相比较，集成商提供的电子图书平均价格便宜，所以各高校引进这类电子图书的数量较大，规模较大，在使用时可以用数量的</w:t>
      </w:r>
      <w:r w:rsidR="00154894">
        <w:rPr>
          <w:rFonts w:ascii="楷体_GB2312" w:eastAsia="楷体_GB2312" w:hAnsi="Calibri" w:cs="Times New Roman" w:hint="eastAsia"/>
          <w:szCs w:val="21"/>
        </w:rPr>
        <w:t>相对</w:t>
      </w:r>
      <w:r w:rsidR="00DA01D2">
        <w:rPr>
          <w:rFonts w:ascii="楷体_GB2312" w:eastAsia="楷体_GB2312" w:hAnsi="Calibri" w:cs="Times New Roman" w:hint="eastAsia"/>
          <w:szCs w:val="21"/>
        </w:rPr>
        <w:t>充足弥补内容上的</w:t>
      </w:r>
      <w:r w:rsidR="00154894">
        <w:rPr>
          <w:rFonts w:ascii="楷体_GB2312" w:eastAsia="楷体_GB2312" w:hAnsi="Calibri" w:cs="Times New Roman" w:hint="eastAsia"/>
          <w:szCs w:val="21"/>
        </w:rPr>
        <w:t>相对</w:t>
      </w:r>
      <w:r w:rsidR="00DA01D2">
        <w:rPr>
          <w:rFonts w:ascii="楷体_GB2312" w:eastAsia="楷体_GB2312" w:hAnsi="Calibri" w:cs="Times New Roman" w:hint="eastAsia"/>
          <w:szCs w:val="21"/>
        </w:rPr>
        <w:t>欠缺。</w:t>
      </w:r>
    </w:p>
    <w:p w:rsidR="00B96090" w:rsidRPr="0099614E" w:rsidRDefault="00B96090" w:rsidP="00B45997">
      <w:pPr>
        <w:pStyle w:val="2"/>
        <w:adjustRightInd w:val="0"/>
        <w:snapToGrid w:val="0"/>
        <w:spacing w:before="0" w:after="0" w:line="360" w:lineRule="auto"/>
      </w:pPr>
      <w:r w:rsidRPr="0099614E">
        <w:rPr>
          <w:rFonts w:hint="eastAsia"/>
        </w:rPr>
        <w:t xml:space="preserve">2.2 </w:t>
      </w:r>
      <w:r w:rsidRPr="0099614E">
        <w:rPr>
          <w:rFonts w:hint="eastAsia"/>
        </w:rPr>
        <w:t>农业高校原版电子图书</w:t>
      </w:r>
      <w:r w:rsidRPr="0099614E">
        <w:rPr>
          <w:rFonts w:hint="eastAsia"/>
        </w:rPr>
        <w:t>/</w:t>
      </w:r>
      <w:r w:rsidRPr="0099614E">
        <w:rPr>
          <w:rFonts w:hint="eastAsia"/>
        </w:rPr>
        <w:t>教材的引进内容分析</w:t>
      </w:r>
    </w:p>
    <w:p w:rsidR="00B96090" w:rsidRDefault="00154894" w:rsidP="00943056">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涉农高校在引进电子图书的规模与数量上都显不足，究其根本原因还是经费的限制。仔细分析各学校引进电子图书的内容和学科分布可以有助于了解各学校对外文电子图书的真是需求，同时也可以为进一步加强涉农高校外文原版电子图书建设提供指导性建议。将所调研的38所高校引进的所有电子图书进行汇总</w:t>
      </w:r>
      <w:r w:rsidR="00943056">
        <w:rPr>
          <w:rFonts w:ascii="楷体_GB2312" w:eastAsia="楷体_GB2312" w:hAnsi="Calibri" w:cs="Times New Roman" w:hint="eastAsia"/>
          <w:szCs w:val="21"/>
        </w:rPr>
        <w:t>聚类</w:t>
      </w:r>
      <w:r>
        <w:rPr>
          <w:rFonts w:ascii="楷体_GB2312" w:eastAsia="楷体_GB2312" w:hAnsi="Calibri" w:cs="Times New Roman" w:hint="eastAsia"/>
          <w:szCs w:val="21"/>
        </w:rPr>
        <w:t>，</w:t>
      </w:r>
      <w:r w:rsidR="00943056">
        <w:rPr>
          <w:rFonts w:ascii="楷体_GB2312" w:eastAsia="楷体_GB2312" w:hAnsi="Calibri" w:cs="Times New Roman" w:hint="eastAsia"/>
          <w:szCs w:val="21"/>
        </w:rPr>
        <w:t>统计结果如下：</w:t>
      </w:r>
    </w:p>
    <w:tbl>
      <w:tblPr>
        <w:tblW w:w="8801" w:type="dxa"/>
        <w:jc w:val="center"/>
        <w:tblLook w:val="04A0" w:firstRow="1" w:lastRow="0" w:firstColumn="1" w:lastColumn="0" w:noHBand="0" w:noVBand="1"/>
      </w:tblPr>
      <w:tblGrid>
        <w:gridCol w:w="4124"/>
        <w:gridCol w:w="946"/>
        <w:gridCol w:w="1417"/>
        <w:gridCol w:w="2314"/>
      </w:tblGrid>
      <w:tr w:rsidR="00A70564" w:rsidRPr="00943056" w:rsidTr="00FE2445">
        <w:trPr>
          <w:trHeight w:val="470"/>
          <w:jc w:val="center"/>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564" w:rsidRPr="00943056" w:rsidRDefault="00A70564" w:rsidP="00943056">
            <w:pPr>
              <w:autoSpaceDE w:val="0"/>
              <w:autoSpaceDN w:val="0"/>
              <w:adjustRightInd w:val="0"/>
              <w:snapToGrid w:val="0"/>
              <w:spacing w:line="360" w:lineRule="auto"/>
              <w:ind w:firstLine="50"/>
              <w:jc w:val="center"/>
              <w:rPr>
                <w:rFonts w:ascii="楷体_GB2312" w:eastAsia="楷体_GB2312" w:hAnsi="Calibri" w:cs="Times New Roman"/>
                <w:szCs w:val="21"/>
              </w:rPr>
            </w:pPr>
            <w:r w:rsidRPr="00943056">
              <w:rPr>
                <w:rFonts w:ascii="楷体_GB2312" w:eastAsia="楷体_GB2312" w:hAnsi="Calibri" w:cs="Times New Roman" w:hint="eastAsia"/>
                <w:szCs w:val="21"/>
              </w:rPr>
              <w:t>引进电子图书名称</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A70564" w:rsidRPr="00943056" w:rsidRDefault="00A70564" w:rsidP="00FE2445">
            <w:pPr>
              <w:autoSpaceDE w:val="0"/>
              <w:autoSpaceDN w:val="0"/>
              <w:adjustRightInd w:val="0"/>
              <w:snapToGrid w:val="0"/>
              <w:spacing w:line="360" w:lineRule="auto"/>
              <w:ind w:firstLine="20"/>
              <w:rPr>
                <w:rFonts w:ascii="楷体_GB2312" w:eastAsia="楷体_GB2312" w:hAnsi="Calibri" w:cs="Times New Roman"/>
                <w:szCs w:val="21"/>
              </w:rPr>
            </w:pPr>
            <w:r w:rsidRPr="00943056">
              <w:rPr>
                <w:rFonts w:ascii="楷体_GB2312" w:eastAsia="楷体_GB2312" w:hAnsi="Calibri" w:cs="Times New Roman" w:hint="eastAsia"/>
                <w:szCs w:val="21"/>
              </w:rPr>
              <w:t>引进学校数量</w:t>
            </w:r>
          </w:p>
        </w:tc>
        <w:tc>
          <w:tcPr>
            <w:tcW w:w="1417" w:type="dxa"/>
            <w:tcBorders>
              <w:top w:val="single" w:sz="4" w:space="0" w:color="auto"/>
              <w:left w:val="nil"/>
              <w:bottom w:val="single" w:sz="4" w:space="0" w:color="auto"/>
              <w:right w:val="single" w:sz="4" w:space="0" w:color="auto"/>
            </w:tcBorders>
            <w:vAlign w:val="center"/>
          </w:tcPr>
          <w:p w:rsidR="00A70564" w:rsidRPr="00943056" w:rsidRDefault="00A70564" w:rsidP="00365062">
            <w:pPr>
              <w:autoSpaceDE w:val="0"/>
              <w:autoSpaceDN w:val="0"/>
              <w:adjustRightInd w:val="0"/>
              <w:snapToGrid w:val="0"/>
              <w:spacing w:line="360" w:lineRule="auto"/>
              <w:ind w:firstLine="50"/>
              <w:jc w:val="center"/>
              <w:rPr>
                <w:rFonts w:ascii="楷体_GB2312" w:eastAsia="楷体_GB2312" w:hAnsi="Calibri" w:cs="Times New Roman"/>
                <w:szCs w:val="21"/>
              </w:rPr>
            </w:pPr>
            <w:r>
              <w:rPr>
                <w:rFonts w:ascii="楷体_GB2312" w:eastAsia="楷体_GB2312" w:hAnsi="Calibri" w:cs="Times New Roman" w:hint="eastAsia"/>
                <w:szCs w:val="21"/>
              </w:rPr>
              <w:t>学科特点</w:t>
            </w:r>
          </w:p>
        </w:tc>
        <w:tc>
          <w:tcPr>
            <w:tcW w:w="2314" w:type="dxa"/>
            <w:tcBorders>
              <w:top w:val="single" w:sz="4" w:space="0" w:color="auto"/>
              <w:left w:val="single" w:sz="4" w:space="0" w:color="auto"/>
              <w:bottom w:val="single" w:sz="4" w:space="0" w:color="auto"/>
              <w:right w:val="single" w:sz="4" w:space="0" w:color="auto"/>
            </w:tcBorders>
            <w:vAlign w:val="center"/>
          </w:tcPr>
          <w:p w:rsidR="00A70564" w:rsidRPr="00943056" w:rsidRDefault="00A70564" w:rsidP="00943056">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提供商性质</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CABI</w:t>
            </w:r>
            <w:r>
              <w:rPr>
                <w:rFonts w:ascii="楷体_GB2312" w:eastAsia="楷体_GB2312" w:hAnsi="Calibri" w:cs="Times New Roman" w:hint="eastAsia"/>
                <w:szCs w:val="21"/>
              </w:rPr>
              <w:t>电子图书（</w:t>
            </w:r>
            <w:r w:rsidRPr="00943056">
              <w:rPr>
                <w:rFonts w:ascii="楷体_GB2312" w:eastAsia="楷体_GB2312" w:hAnsi="Calibri" w:cs="Times New Roman"/>
                <w:szCs w:val="21"/>
              </w:rPr>
              <w:t>国际应用生物科学中心</w:t>
            </w:r>
            <w:r>
              <w:rPr>
                <w:rFonts w:ascii="楷体_GB2312" w:eastAsia="楷体_GB2312" w:hAnsi="Calibri" w:cs="Times New Roman" w:hint="eastAsia"/>
                <w:szCs w:val="21"/>
              </w:rPr>
              <w:t>）</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34</w:t>
            </w:r>
          </w:p>
        </w:tc>
        <w:tc>
          <w:tcPr>
            <w:tcW w:w="1417" w:type="dxa"/>
            <w:tcBorders>
              <w:top w:val="single" w:sz="4" w:space="0" w:color="auto"/>
              <w:left w:val="nil"/>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农学/生物</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sidRPr="00943056">
              <w:rPr>
                <w:rFonts w:ascii="楷体_GB2312" w:eastAsia="楷体_GB2312" w:hAnsi="Calibri" w:cs="Times New Roman"/>
                <w:szCs w:val="21"/>
              </w:rPr>
              <w:t>非盈利性国际组织</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IDRC</w:t>
            </w:r>
            <w:r>
              <w:rPr>
                <w:rFonts w:ascii="楷体_GB2312" w:eastAsia="楷体_GB2312" w:hAnsi="Calibri" w:cs="Times New Roman" w:hint="eastAsia"/>
                <w:szCs w:val="21"/>
              </w:rPr>
              <w:t>电子图书（</w:t>
            </w:r>
            <w:r w:rsidRPr="00B96201">
              <w:rPr>
                <w:rFonts w:ascii="楷体_GB2312" w:eastAsia="楷体_GB2312" w:hAnsi="Calibri" w:cs="Times New Roman" w:hint="eastAsia"/>
                <w:szCs w:val="21"/>
              </w:rPr>
              <w:t>加拿大国际发展研究中心</w:t>
            </w:r>
            <w:r>
              <w:rPr>
                <w:rFonts w:ascii="楷体_GB2312" w:eastAsia="楷体_GB2312" w:hAnsi="Calibri" w:cs="Times New Roman" w:hint="eastAsia"/>
                <w:szCs w:val="21"/>
              </w:rPr>
              <w:t>）</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sidRPr="00943056">
              <w:rPr>
                <w:rFonts w:ascii="楷体_GB2312" w:eastAsia="楷体_GB2312" w:hAnsi="Calibri" w:cs="Times New Roman"/>
                <w:szCs w:val="21"/>
              </w:rPr>
              <w:t>非盈利性国际组织</w:t>
            </w:r>
          </w:p>
        </w:tc>
      </w:tr>
      <w:tr w:rsidR="00A70564" w:rsidRPr="00943056" w:rsidTr="00A70564">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RSC</w:t>
            </w:r>
            <w:r>
              <w:rPr>
                <w:rFonts w:ascii="楷体_GB2312" w:eastAsia="楷体_GB2312" w:hAnsi="Calibri" w:cs="Times New Roman" w:hint="eastAsia"/>
                <w:szCs w:val="21"/>
              </w:rPr>
              <w:t>电子图书（</w:t>
            </w:r>
            <w:r w:rsidRPr="0096717A">
              <w:rPr>
                <w:rFonts w:ascii="楷体_GB2312" w:eastAsia="楷体_GB2312" w:hAnsi="Calibri" w:cs="Times New Roman" w:hint="eastAsia"/>
                <w:szCs w:val="21"/>
              </w:rPr>
              <w:t>英国皇家化学学会</w:t>
            </w:r>
            <w:r>
              <w:rPr>
                <w:rFonts w:ascii="楷体_GB2312" w:eastAsia="楷体_GB2312" w:hAnsi="Calibri" w:cs="Times New Roman" w:hint="eastAsia"/>
                <w:szCs w:val="21"/>
              </w:rPr>
              <w:t>）</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5</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化学</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学会出版社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ACS</w:t>
            </w:r>
            <w:r>
              <w:rPr>
                <w:rFonts w:ascii="楷体_GB2312" w:eastAsia="楷体_GB2312" w:hAnsi="Calibri" w:cs="Times New Roman" w:hint="eastAsia"/>
                <w:szCs w:val="21"/>
              </w:rPr>
              <w:t>电子图书（美国化学学会）</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2</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化学</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学会出版社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ASME</w:t>
            </w:r>
            <w:r>
              <w:rPr>
                <w:rFonts w:ascii="楷体_GB2312" w:eastAsia="楷体_GB2312" w:hAnsi="Calibri" w:cs="Times New Roman" w:hint="eastAsia"/>
                <w:szCs w:val="21"/>
              </w:rPr>
              <w:t>电子图书（</w:t>
            </w:r>
            <w:r w:rsidRPr="0096717A">
              <w:rPr>
                <w:rFonts w:ascii="楷体_GB2312" w:eastAsia="楷体_GB2312" w:hAnsi="Calibri" w:cs="Times New Roman" w:hint="eastAsia"/>
                <w:szCs w:val="21"/>
              </w:rPr>
              <w:t>美国机械工程师学会</w:t>
            </w:r>
            <w:r>
              <w:rPr>
                <w:rFonts w:ascii="楷体_GB2312" w:eastAsia="楷体_GB2312" w:hAnsi="Calibri" w:cs="Times New Roman" w:hint="eastAsia"/>
                <w:szCs w:val="21"/>
              </w:rPr>
              <w:t>）</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工程</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学会出版社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EMS</w:t>
            </w:r>
            <w:r>
              <w:rPr>
                <w:rFonts w:ascii="楷体_GB2312" w:eastAsia="楷体_GB2312" w:hAnsi="Calibri" w:cs="Times New Roman" w:hint="eastAsia"/>
                <w:szCs w:val="21"/>
              </w:rPr>
              <w:t>电子图书（欧洲数学学会）</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数学</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学会出版社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IET</w:t>
            </w:r>
            <w:r>
              <w:rPr>
                <w:rFonts w:ascii="楷体_GB2312" w:eastAsia="楷体_GB2312" w:hAnsi="Calibri" w:cs="Times New Roman" w:hint="eastAsia"/>
                <w:szCs w:val="21"/>
              </w:rPr>
              <w:t>电子图书（</w:t>
            </w:r>
            <w:r w:rsidRPr="00B96201">
              <w:rPr>
                <w:rFonts w:ascii="楷体_GB2312" w:eastAsia="楷体_GB2312" w:hAnsi="Calibri" w:cs="Times New Roman"/>
                <w:szCs w:val="21"/>
              </w:rPr>
              <w:t>英国工程技术学会</w:t>
            </w:r>
            <w:r>
              <w:rPr>
                <w:rFonts w:ascii="楷体_GB2312" w:eastAsia="楷体_GB2312" w:hAnsi="Calibri" w:cs="Times New Roman" w:hint="eastAsia"/>
                <w:szCs w:val="21"/>
              </w:rPr>
              <w:t>）</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工程</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学会出版社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SIAM</w:t>
            </w:r>
            <w:r>
              <w:rPr>
                <w:rFonts w:ascii="楷体_GB2312" w:eastAsia="楷体_GB2312" w:hAnsi="Calibri" w:cs="Times New Roman" w:hint="eastAsia"/>
                <w:szCs w:val="21"/>
              </w:rPr>
              <w:t>电子图书（美国工业和应用数学学会）</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数学</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学会出版社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SPIE</w:t>
            </w:r>
            <w:r>
              <w:rPr>
                <w:rFonts w:ascii="楷体_GB2312" w:eastAsia="楷体_GB2312" w:hAnsi="Calibri" w:cs="Times New Roman" w:hint="eastAsia"/>
                <w:szCs w:val="21"/>
              </w:rPr>
              <w:t>电子图书（国际光学工程学会）</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光学</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学会出版社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OUP</w:t>
            </w:r>
            <w:r>
              <w:rPr>
                <w:rFonts w:ascii="楷体_GB2312" w:eastAsia="楷体_GB2312" w:hAnsi="Calibri" w:cs="Times New Roman" w:hint="eastAsia"/>
                <w:szCs w:val="21"/>
              </w:rPr>
              <w:t>电子图书（牛津大学出版社）</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2</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大学出版社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CUP</w:t>
            </w:r>
            <w:r>
              <w:rPr>
                <w:rFonts w:ascii="楷体_GB2312" w:eastAsia="楷体_GB2312" w:hAnsi="Calibri" w:cs="Times New Roman" w:hint="eastAsia"/>
                <w:szCs w:val="21"/>
              </w:rPr>
              <w:t>电子图书（剑桥大学出版社）</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大学出版社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Springer</w:t>
            </w:r>
            <w:r>
              <w:rPr>
                <w:rFonts w:ascii="楷体_GB2312" w:eastAsia="楷体_GB2312" w:hAnsi="Calibri" w:cs="Times New Roman" w:hint="eastAsia"/>
                <w:szCs w:val="21"/>
              </w:rPr>
              <w:t>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Elsevier</w:t>
            </w:r>
            <w:r>
              <w:rPr>
                <w:rFonts w:ascii="楷体_GB2312" w:eastAsia="楷体_GB2312" w:hAnsi="Calibri" w:cs="Times New Roman" w:hint="eastAsia"/>
                <w:szCs w:val="21"/>
              </w:rPr>
              <w:t>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6</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IEEE-Wiley</w:t>
            </w:r>
            <w:r>
              <w:rPr>
                <w:rFonts w:ascii="楷体_GB2312" w:eastAsia="楷体_GB2312" w:hAnsi="Calibri" w:cs="Times New Roman" w:hint="eastAsia"/>
                <w:szCs w:val="21"/>
              </w:rPr>
              <w:t>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3</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工程</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A70564">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Emerald</w:t>
            </w:r>
            <w:r>
              <w:rPr>
                <w:rFonts w:ascii="楷体_GB2312" w:eastAsia="楷体_GB2312" w:hAnsi="Calibri" w:cs="Times New Roman" w:hint="eastAsia"/>
                <w:szCs w:val="21"/>
              </w:rPr>
              <w:t>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2</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A70564">
        <w:trPr>
          <w:trHeight w:val="470"/>
          <w:jc w:val="center"/>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Manson</w:t>
            </w:r>
            <w:r>
              <w:rPr>
                <w:rFonts w:ascii="楷体_GB2312" w:eastAsia="楷体_GB2312" w:hAnsi="Calibri" w:cs="Times New Roman" w:hint="eastAsia"/>
                <w:szCs w:val="21"/>
              </w:rPr>
              <w:t>电子图书</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农学/生物</w:t>
            </w:r>
          </w:p>
        </w:tc>
        <w:tc>
          <w:tcPr>
            <w:tcW w:w="2314" w:type="dxa"/>
            <w:tcBorders>
              <w:top w:val="single" w:sz="4" w:space="0" w:color="auto"/>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D37EC6">
        <w:trPr>
          <w:trHeight w:val="470"/>
          <w:jc w:val="center"/>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Taylor</w:t>
            </w:r>
            <w:r>
              <w:rPr>
                <w:rFonts w:ascii="楷体_GB2312" w:eastAsia="楷体_GB2312" w:hAnsi="Calibri" w:cs="Times New Roman" w:hint="eastAsia"/>
                <w:szCs w:val="21"/>
              </w:rPr>
              <w:t>&amp; Francis电子图书</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2</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single" w:sz="4" w:space="0" w:color="auto"/>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D37EC6">
        <w:trPr>
          <w:trHeight w:val="470"/>
          <w:jc w:val="center"/>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lastRenderedPageBreak/>
              <w:t>IGI Global</w:t>
            </w:r>
            <w:r>
              <w:rPr>
                <w:rFonts w:ascii="楷体_GB2312" w:eastAsia="楷体_GB2312" w:hAnsi="Calibri" w:cs="Times New Roman" w:hint="eastAsia"/>
                <w:szCs w:val="21"/>
              </w:rPr>
              <w:t>电子图书</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single" w:sz="4" w:space="0" w:color="auto"/>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JohnWiley</w:t>
            </w:r>
            <w:r>
              <w:rPr>
                <w:rFonts w:ascii="楷体_GB2312" w:eastAsia="楷体_GB2312" w:hAnsi="Calibri" w:cs="Times New Roman" w:hint="eastAsia"/>
                <w:szCs w:val="21"/>
              </w:rPr>
              <w:t>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CD0609">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Woodhead</w:t>
            </w:r>
            <w:r>
              <w:rPr>
                <w:rFonts w:ascii="楷体_GB2312" w:eastAsia="楷体_GB2312" w:hAnsi="Calibri" w:cs="Times New Roman" w:hint="eastAsia"/>
                <w:szCs w:val="21"/>
              </w:rPr>
              <w:t>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A70564">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szCs w:val="21"/>
              </w:rPr>
              <w:t>World-scientific</w:t>
            </w:r>
            <w:r>
              <w:rPr>
                <w:rFonts w:ascii="楷体_GB2312" w:eastAsia="楷体_GB2312" w:hAnsi="Calibri" w:cs="Times New Roman" w:hint="eastAsia"/>
                <w:szCs w:val="21"/>
              </w:rPr>
              <w:t>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1</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商业出版社</w:t>
            </w:r>
          </w:p>
        </w:tc>
      </w:tr>
      <w:tr w:rsidR="00A70564" w:rsidRPr="00943056" w:rsidTr="00A70564">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943056">
              <w:rPr>
                <w:rFonts w:ascii="楷体_GB2312" w:eastAsia="楷体_GB2312" w:hAnsi="Calibri" w:cs="Times New Roman" w:hint="eastAsia"/>
                <w:szCs w:val="21"/>
              </w:rPr>
              <w:t>大英百科全书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sidRPr="00943056">
              <w:rPr>
                <w:rFonts w:ascii="楷体_GB2312" w:eastAsia="楷体_GB2312" w:hAnsi="Calibri" w:cs="Times New Roman" w:hint="eastAsia"/>
                <w:szCs w:val="21"/>
              </w:rPr>
              <w:t>2</w:t>
            </w:r>
          </w:p>
        </w:tc>
        <w:tc>
          <w:tcPr>
            <w:tcW w:w="1417" w:type="dxa"/>
            <w:tcBorders>
              <w:top w:val="single" w:sz="4" w:space="0" w:color="auto"/>
              <w:left w:val="nil"/>
              <w:bottom w:val="single" w:sz="4" w:space="0" w:color="auto"/>
              <w:right w:val="single" w:sz="4" w:space="0" w:color="auto"/>
            </w:tcBorders>
            <w:vAlign w:val="center"/>
          </w:tcPr>
          <w:p w:rsidR="00A70564" w:rsidRPr="0096717A"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综合</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sidRPr="0096717A">
              <w:rPr>
                <w:rFonts w:ascii="楷体_GB2312" w:eastAsia="楷体_GB2312" w:hAnsi="Calibri" w:cs="Times New Roman" w:hint="eastAsia"/>
                <w:szCs w:val="21"/>
              </w:rPr>
              <w:t>不列颠百科全书公司</w:t>
            </w:r>
          </w:p>
        </w:tc>
      </w:tr>
      <w:tr w:rsidR="00A70564" w:rsidRPr="00943056" w:rsidTr="00A70564">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sidRPr="00047E8A">
              <w:rPr>
                <w:rFonts w:ascii="楷体_GB2312" w:eastAsia="楷体_GB2312" w:hAnsi="Calibri" w:cs="Times New Roman"/>
                <w:szCs w:val="21"/>
              </w:rPr>
              <w:t>EBSCO eBook Collection</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Pr>
                <w:rFonts w:ascii="楷体_GB2312" w:eastAsia="楷体_GB2312" w:hAnsi="Calibri" w:cs="Times New Roman" w:hint="eastAsia"/>
                <w:szCs w:val="21"/>
              </w:rPr>
              <w:t>9</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jc w:val="left"/>
              <w:rPr>
                <w:rFonts w:ascii="楷体_GB2312" w:eastAsia="楷体_GB2312" w:hAnsi="Calibri" w:cs="Times New Roman"/>
                <w:szCs w:val="21"/>
              </w:rPr>
            </w:pPr>
            <w:r>
              <w:rPr>
                <w:rFonts w:ascii="楷体_GB2312" w:eastAsia="楷体_GB2312" w:hAnsi="Calibri" w:cs="Times New Roman" w:hint="eastAsia"/>
                <w:szCs w:val="21"/>
              </w:rPr>
              <w:t>集成商提供</w:t>
            </w:r>
          </w:p>
        </w:tc>
      </w:tr>
      <w:tr w:rsidR="00A70564" w:rsidRPr="00943056" w:rsidTr="00A70564">
        <w:trPr>
          <w:trHeight w:val="470"/>
          <w:jc w:val="center"/>
        </w:trPr>
        <w:tc>
          <w:tcPr>
            <w:tcW w:w="4124" w:type="dxa"/>
            <w:tcBorders>
              <w:top w:val="nil"/>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Pr>
                <w:rFonts w:ascii="楷体_GB2312" w:eastAsia="楷体_GB2312" w:hAnsi="Calibri" w:cs="Times New Roman" w:hint="eastAsia"/>
                <w:szCs w:val="21"/>
              </w:rPr>
              <w:t>E-Brary电子图书</w:t>
            </w:r>
          </w:p>
        </w:tc>
        <w:tc>
          <w:tcPr>
            <w:tcW w:w="946" w:type="dxa"/>
            <w:tcBorders>
              <w:top w:val="nil"/>
              <w:left w:val="nil"/>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Pr>
                <w:rFonts w:ascii="楷体_GB2312" w:eastAsia="楷体_GB2312" w:hAnsi="Calibri" w:cs="Times New Roman" w:hint="eastAsia"/>
                <w:szCs w:val="21"/>
              </w:rPr>
              <w:t>2</w:t>
            </w:r>
          </w:p>
        </w:tc>
        <w:tc>
          <w:tcPr>
            <w:tcW w:w="1417" w:type="dxa"/>
            <w:tcBorders>
              <w:top w:val="single" w:sz="4" w:space="0" w:color="auto"/>
              <w:left w:val="nil"/>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nil"/>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Pr>
                <w:rFonts w:ascii="楷体_GB2312" w:eastAsia="楷体_GB2312" w:hAnsi="Calibri" w:cs="Times New Roman" w:hint="eastAsia"/>
                <w:szCs w:val="21"/>
              </w:rPr>
              <w:t>集成商提供</w:t>
            </w:r>
          </w:p>
        </w:tc>
      </w:tr>
      <w:tr w:rsidR="00A70564" w:rsidRPr="00943056" w:rsidTr="00A70564">
        <w:trPr>
          <w:trHeight w:val="470"/>
          <w:jc w:val="center"/>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Pr>
                <w:rFonts w:ascii="楷体_GB2312" w:eastAsia="楷体_GB2312" w:hAnsi="Calibri" w:cs="Times New Roman" w:hint="eastAsia"/>
                <w:szCs w:val="21"/>
              </w:rPr>
              <w:t>World EBook Library电子图书</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564" w:rsidRPr="00943056" w:rsidRDefault="00A70564" w:rsidP="00CD0609">
            <w:pPr>
              <w:autoSpaceDE w:val="0"/>
              <w:autoSpaceDN w:val="0"/>
              <w:adjustRightInd w:val="0"/>
              <w:snapToGrid w:val="0"/>
              <w:spacing w:line="360" w:lineRule="auto"/>
              <w:ind w:hanging="15"/>
              <w:jc w:val="center"/>
              <w:rPr>
                <w:rFonts w:ascii="楷体_GB2312" w:eastAsia="楷体_GB2312" w:hAnsi="Calibri" w:cs="Times New Roman"/>
                <w:szCs w:val="21"/>
              </w:rPr>
            </w:pPr>
            <w:r>
              <w:rPr>
                <w:rFonts w:ascii="楷体_GB2312" w:eastAsia="楷体_GB2312" w:hAnsi="Calibri" w:cs="Times New Roman" w:hint="eastAsia"/>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rsidR="00A70564"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Pr>
                <w:rFonts w:ascii="楷体_GB2312" w:eastAsia="楷体_GB2312" w:hAnsi="Calibri" w:cs="Times New Roman" w:hint="eastAsia"/>
                <w:szCs w:val="21"/>
              </w:rPr>
              <w:t>多学科</w:t>
            </w:r>
          </w:p>
        </w:tc>
        <w:tc>
          <w:tcPr>
            <w:tcW w:w="2314" w:type="dxa"/>
            <w:tcBorders>
              <w:top w:val="single" w:sz="4" w:space="0" w:color="auto"/>
              <w:left w:val="single" w:sz="4" w:space="0" w:color="auto"/>
              <w:bottom w:val="single" w:sz="4" w:space="0" w:color="auto"/>
              <w:right w:val="single" w:sz="4" w:space="0" w:color="auto"/>
            </w:tcBorders>
            <w:vAlign w:val="center"/>
          </w:tcPr>
          <w:p w:rsidR="00A70564" w:rsidRPr="00943056" w:rsidRDefault="00A70564" w:rsidP="00CD0609">
            <w:pPr>
              <w:autoSpaceDE w:val="0"/>
              <w:autoSpaceDN w:val="0"/>
              <w:adjustRightInd w:val="0"/>
              <w:snapToGrid w:val="0"/>
              <w:spacing w:line="360" w:lineRule="auto"/>
              <w:ind w:firstLine="50"/>
              <w:rPr>
                <w:rFonts w:ascii="楷体_GB2312" w:eastAsia="楷体_GB2312" w:hAnsi="Calibri" w:cs="Times New Roman"/>
                <w:szCs w:val="21"/>
              </w:rPr>
            </w:pPr>
            <w:r>
              <w:rPr>
                <w:rFonts w:ascii="楷体_GB2312" w:eastAsia="楷体_GB2312" w:hAnsi="Calibri" w:cs="Times New Roman" w:hint="eastAsia"/>
                <w:szCs w:val="21"/>
              </w:rPr>
              <w:t>集成商提供</w:t>
            </w:r>
          </w:p>
        </w:tc>
      </w:tr>
    </w:tbl>
    <w:p w:rsidR="00943056" w:rsidRPr="00943056" w:rsidRDefault="00365062" w:rsidP="00943056">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 xml:space="preserve">    从上表可以看出，</w:t>
      </w:r>
      <w:r w:rsidR="00AD2F23">
        <w:rPr>
          <w:rFonts w:ascii="楷体_GB2312" w:eastAsia="楷体_GB2312" w:hAnsi="Calibri" w:cs="Times New Roman" w:hint="eastAsia"/>
          <w:szCs w:val="21"/>
        </w:rPr>
        <w:t>38所高校中有34家都引进了</w:t>
      </w:r>
      <w:r w:rsidR="0015394B">
        <w:rPr>
          <w:rFonts w:ascii="楷体_GB2312" w:eastAsia="楷体_GB2312" w:hAnsi="Calibri" w:cs="Times New Roman" w:hint="eastAsia"/>
          <w:szCs w:val="21"/>
        </w:rPr>
        <w:t>农学及生物科学类的</w:t>
      </w:r>
      <w:r w:rsidR="00AD2F23">
        <w:rPr>
          <w:rFonts w:ascii="楷体_GB2312" w:eastAsia="楷体_GB2312" w:hAnsi="Calibri" w:cs="Times New Roman" w:hint="eastAsia"/>
          <w:szCs w:val="21"/>
        </w:rPr>
        <w:t>CABI电子图书</w:t>
      </w:r>
      <w:r w:rsidR="0015394B">
        <w:rPr>
          <w:rFonts w:ascii="楷体_GB2312" w:eastAsia="楷体_GB2312" w:hAnsi="Calibri" w:cs="Times New Roman" w:hint="eastAsia"/>
          <w:szCs w:val="21"/>
        </w:rPr>
        <w:t>，说明在涉农高校中农学、生物科学均为各校的重点保障学科，而CABI电子的内容专业性强，每年图书出版数量与商业出版社相比少得多，所以总价格也相对便宜，能够被各学校所接受。除农学、生物两大学科为各校建设重点外，化学学科类图书也是各校需求较强烈的内容，这是因为化学学科与农学、生物科学之间的学科交叉程度很大，可以说化学是农学、生物学研究发展的重要基础</w:t>
      </w:r>
      <w:r w:rsidR="00682274">
        <w:rPr>
          <w:rFonts w:ascii="楷体_GB2312" w:eastAsia="楷体_GB2312" w:hAnsi="Calibri" w:cs="Times New Roman" w:hint="eastAsia"/>
          <w:szCs w:val="21"/>
        </w:rPr>
        <w:t>。此外，由于各高校的建设目标多为在保障原有农学、生物等学科优势的基础上加强多学科建设，尤其是这38所高校中有些是由多个学校合并而成的，所以工程学、数学、光学等偏理工方面的电子图书也多有需求。</w:t>
      </w:r>
    </w:p>
    <w:p w:rsidR="0099614E" w:rsidRDefault="009A362F" w:rsidP="003D60EE">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 xml:space="preserve">    同时分析上表中各个电子图书的平台提供商性质，可以看出学会（或协会）出版社及一些研究型机构的出版社在本学科领域中的学术地位很高，所以其出版图书的学术质量得到用户充分认可；而商业出版社的优势则在于出版数量大，学科覆盖范围广，能够满足各高校多学科发展的需求</w:t>
      </w:r>
      <w:r w:rsidR="00C17215">
        <w:rPr>
          <w:rFonts w:ascii="楷体_GB2312" w:eastAsia="楷体_GB2312" w:hAnsi="Calibri" w:cs="Times New Roman" w:hint="eastAsia"/>
          <w:szCs w:val="21"/>
        </w:rPr>
        <w:t>。在各学校引进的商业出版社所提供电子图书中则可以看到德国Springer公司、荷兰Elsevier公司、美国John Wiley公司</w:t>
      </w:r>
      <w:r w:rsidR="00FE549C">
        <w:rPr>
          <w:rFonts w:ascii="楷体_GB2312" w:eastAsia="楷体_GB2312" w:hAnsi="Calibri" w:cs="Times New Roman" w:hint="eastAsia"/>
          <w:szCs w:val="21"/>
        </w:rPr>
        <w:t>等</w:t>
      </w:r>
      <w:r w:rsidR="00A70564">
        <w:rPr>
          <w:rFonts w:ascii="楷体_GB2312" w:eastAsia="楷体_GB2312" w:hAnsi="Calibri" w:cs="Times New Roman" w:hint="eastAsia"/>
          <w:szCs w:val="21"/>
        </w:rPr>
        <w:t>国际著名大型出版社的产品更引人关注。</w:t>
      </w:r>
    </w:p>
    <w:p w:rsidR="00B96090" w:rsidRPr="0099614E" w:rsidRDefault="00B96090" w:rsidP="0099614E">
      <w:pPr>
        <w:pStyle w:val="2"/>
        <w:adjustRightInd w:val="0"/>
        <w:snapToGrid w:val="0"/>
        <w:spacing w:before="0" w:after="0" w:line="360" w:lineRule="auto"/>
      </w:pPr>
      <w:r w:rsidRPr="0099614E">
        <w:rPr>
          <w:rFonts w:hint="eastAsia"/>
        </w:rPr>
        <w:t xml:space="preserve">2.3 </w:t>
      </w:r>
      <w:r w:rsidRPr="0099614E">
        <w:rPr>
          <w:rFonts w:hint="eastAsia"/>
        </w:rPr>
        <w:t>农业高校</w:t>
      </w:r>
      <w:r w:rsidR="00870686">
        <w:rPr>
          <w:rFonts w:hint="eastAsia"/>
        </w:rPr>
        <w:t>文献</w:t>
      </w:r>
      <w:r w:rsidRPr="0099614E">
        <w:rPr>
          <w:rFonts w:hint="eastAsia"/>
        </w:rPr>
        <w:t>经费分析</w:t>
      </w:r>
    </w:p>
    <w:p w:rsidR="00B96090" w:rsidRDefault="00D85E98" w:rsidP="00D85E98">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各高校</w:t>
      </w:r>
      <w:r w:rsidR="00BE1058" w:rsidRPr="00D85E98">
        <w:rPr>
          <w:rFonts w:ascii="楷体_GB2312" w:eastAsia="楷体_GB2312" w:hAnsi="Calibri" w:cs="Times New Roman" w:hint="eastAsia"/>
          <w:szCs w:val="21"/>
        </w:rPr>
        <w:t>图书馆</w:t>
      </w:r>
      <w:r>
        <w:rPr>
          <w:rFonts w:ascii="楷体_GB2312" w:eastAsia="楷体_GB2312" w:hAnsi="Calibri" w:cs="Times New Roman" w:hint="eastAsia"/>
          <w:szCs w:val="21"/>
        </w:rPr>
        <w:t>经费条件是该学校文献资源保障的一个重要基础，为了更好地探讨农业高校原版电子图书的建设现状与发展趋势，本</w:t>
      </w:r>
      <w:r w:rsidR="00612134">
        <w:rPr>
          <w:rFonts w:ascii="楷体_GB2312" w:eastAsia="楷体_GB2312" w:hAnsi="Calibri" w:cs="Times New Roman" w:hint="eastAsia"/>
          <w:szCs w:val="21"/>
        </w:rPr>
        <w:t>研究分别统计了调研目标学校图书馆近五年（2010年-2014年）的文献总经费和电子资源经费（统计数据来源于教育部高等学校图书情报工作指导委员会网站），由于各校图书馆上报数据完整性有所欠缺，</w:t>
      </w:r>
      <w:r w:rsidR="00BE518C">
        <w:rPr>
          <w:rFonts w:ascii="楷体_GB2312" w:eastAsia="楷体_GB2312" w:hAnsi="Calibri" w:cs="Times New Roman" w:hint="eastAsia"/>
          <w:szCs w:val="21"/>
        </w:rPr>
        <w:t>其中有六所高校没有任何一年的统计数据，</w:t>
      </w:r>
      <w:r w:rsidR="00612134">
        <w:rPr>
          <w:rFonts w:ascii="楷体_GB2312" w:eastAsia="楷体_GB2312" w:hAnsi="Calibri" w:cs="Times New Roman" w:hint="eastAsia"/>
          <w:szCs w:val="21"/>
        </w:rPr>
        <w:t>所以统计</w:t>
      </w:r>
      <w:r w:rsidR="00B2020F">
        <w:rPr>
          <w:rFonts w:ascii="楷体_GB2312" w:eastAsia="楷体_GB2312" w:hAnsi="Calibri" w:cs="Times New Roman" w:hint="eastAsia"/>
          <w:szCs w:val="21"/>
        </w:rPr>
        <w:t>数据</w:t>
      </w:r>
      <w:r w:rsidR="00BE518C">
        <w:rPr>
          <w:rFonts w:ascii="楷体_GB2312" w:eastAsia="楷体_GB2312" w:hAnsi="Calibri" w:cs="Times New Roman" w:hint="eastAsia"/>
          <w:szCs w:val="21"/>
        </w:rPr>
        <w:t>只是涉及了32</w:t>
      </w:r>
      <w:r w:rsidR="00973005">
        <w:rPr>
          <w:rFonts w:ascii="楷体_GB2312" w:eastAsia="楷体_GB2312" w:hAnsi="Calibri" w:cs="Times New Roman" w:hint="eastAsia"/>
          <w:szCs w:val="21"/>
        </w:rPr>
        <w:t>所高校</w:t>
      </w:r>
      <w:r w:rsidR="00B2020F">
        <w:rPr>
          <w:rFonts w:ascii="楷体_GB2312" w:eastAsia="楷体_GB2312" w:hAnsi="Calibri" w:cs="Times New Roman" w:hint="eastAsia"/>
          <w:szCs w:val="21"/>
        </w:rPr>
        <w:t>，而且不是很完整</w:t>
      </w:r>
      <w:r w:rsidR="00973005" w:rsidRPr="00BE4284">
        <w:rPr>
          <w:rFonts w:ascii="楷体_GB2312" w:eastAsia="楷体_GB2312" w:hAnsi="Calibri" w:cs="Times New Roman" w:hint="eastAsia"/>
          <w:szCs w:val="21"/>
        </w:rPr>
        <w:t>（清单见附件3）</w:t>
      </w:r>
      <w:r w:rsidR="003268E1">
        <w:rPr>
          <w:rFonts w:ascii="楷体_GB2312" w:eastAsia="楷体_GB2312" w:hAnsi="Calibri" w:cs="Times New Roman" w:hint="eastAsia"/>
          <w:szCs w:val="21"/>
        </w:rPr>
        <w:t>。</w:t>
      </w:r>
    </w:p>
    <w:p w:rsidR="003C2D7A" w:rsidRPr="00BE37C4" w:rsidRDefault="003C2D7A" w:rsidP="003C2D7A">
      <w:pPr>
        <w:pStyle w:val="3"/>
        <w:adjustRightInd w:val="0"/>
        <w:snapToGrid w:val="0"/>
        <w:spacing w:before="0" w:after="0" w:line="360" w:lineRule="auto"/>
        <w:rPr>
          <w:sz w:val="24"/>
          <w:szCs w:val="24"/>
        </w:rPr>
      </w:pPr>
      <w:r w:rsidRPr="00BE37C4">
        <w:rPr>
          <w:rFonts w:hint="eastAsia"/>
          <w:sz w:val="24"/>
          <w:szCs w:val="24"/>
        </w:rPr>
        <w:t>2.3.1</w:t>
      </w:r>
      <w:r w:rsidR="00BE37C4" w:rsidRPr="00BE37C4">
        <w:rPr>
          <w:rFonts w:hint="eastAsia"/>
          <w:sz w:val="24"/>
          <w:szCs w:val="24"/>
        </w:rPr>
        <w:t xml:space="preserve"> 2010</w:t>
      </w:r>
      <w:r w:rsidR="00BE37C4" w:rsidRPr="00BE37C4">
        <w:rPr>
          <w:rFonts w:hint="eastAsia"/>
          <w:sz w:val="24"/>
          <w:szCs w:val="24"/>
        </w:rPr>
        <w:t>年</w:t>
      </w:r>
      <w:r w:rsidR="00BE37C4" w:rsidRPr="00BE37C4">
        <w:rPr>
          <w:rFonts w:hint="eastAsia"/>
          <w:sz w:val="24"/>
          <w:szCs w:val="24"/>
        </w:rPr>
        <w:t>-2014</w:t>
      </w:r>
      <w:r w:rsidR="00BE37C4" w:rsidRPr="00BE37C4">
        <w:rPr>
          <w:rFonts w:hint="eastAsia"/>
          <w:sz w:val="24"/>
          <w:szCs w:val="24"/>
        </w:rPr>
        <w:t>年</w:t>
      </w:r>
      <w:r w:rsidRPr="00BE37C4">
        <w:rPr>
          <w:rFonts w:hint="eastAsia"/>
          <w:sz w:val="24"/>
          <w:szCs w:val="24"/>
        </w:rPr>
        <w:t>农业高校文献总经费与电子资源经费分布统计</w:t>
      </w:r>
    </w:p>
    <w:p w:rsidR="003268E1" w:rsidRDefault="007167C7" w:rsidP="00D10E4E">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首先，对调研目标学校图书馆2010年-2014</w:t>
      </w:r>
      <w:r w:rsidR="006B7BF0">
        <w:rPr>
          <w:rFonts w:ascii="楷体_GB2312" w:eastAsia="楷体_GB2312" w:hAnsi="Calibri" w:cs="Times New Roman" w:hint="eastAsia"/>
          <w:szCs w:val="21"/>
        </w:rPr>
        <w:t>年的文献总经费</w:t>
      </w:r>
      <w:r w:rsidR="00D10E4E">
        <w:rPr>
          <w:rFonts w:ascii="楷体_GB2312" w:eastAsia="楷体_GB2312" w:hAnsi="Calibri" w:cs="Times New Roman" w:hint="eastAsia"/>
          <w:szCs w:val="21"/>
        </w:rPr>
        <w:t>和电子资源经费</w:t>
      </w:r>
      <w:r w:rsidR="006C3A65">
        <w:rPr>
          <w:rFonts w:ascii="楷体_GB2312" w:eastAsia="楷体_GB2312" w:hAnsi="Calibri" w:cs="Times New Roman" w:hint="eastAsia"/>
          <w:szCs w:val="21"/>
        </w:rPr>
        <w:t>的分布离散情况</w:t>
      </w:r>
      <w:r>
        <w:rPr>
          <w:rFonts w:ascii="楷体_GB2312" w:eastAsia="楷体_GB2312" w:hAnsi="Calibri" w:cs="Times New Roman" w:hint="eastAsia"/>
          <w:szCs w:val="21"/>
        </w:rPr>
        <w:t>进行分析</w:t>
      </w:r>
      <w:r w:rsidR="00E4526B">
        <w:rPr>
          <w:rFonts w:ascii="楷体_GB2312" w:eastAsia="楷体_GB2312" w:hAnsi="Calibri" w:cs="Times New Roman" w:hint="eastAsia"/>
          <w:szCs w:val="21"/>
        </w:rPr>
        <w:t>（图3</w:t>
      </w:r>
      <w:r w:rsidR="00D10E4E">
        <w:rPr>
          <w:rFonts w:ascii="楷体_GB2312" w:eastAsia="楷体_GB2312" w:hAnsi="Calibri" w:cs="Times New Roman" w:hint="eastAsia"/>
          <w:szCs w:val="21"/>
        </w:rPr>
        <w:t>、图4）。</w:t>
      </w:r>
    </w:p>
    <w:p w:rsidR="003268E1" w:rsidRDefault="001E07BB" w:rsidP="003268E1">
      <w:pPr>
        <w:autoSpaceDE w:val="0"/>
        <w:autoSpaceDN w:val="0"/>
        <w:adjustRightInd w:val="0"/>
        <w:snapToGrid w:val="0"/>
        <w:spacing w:line="360" w:lineRule="auto"/>
        <w:rPr>
          <w:rFonts w:ascii="楷体_GB2312" w:eastAsia="楷体_GB2312" w:hAnsi="Calibri" w:cs="Times New Roman"/>
          <w:szCs w:val="21"/>
        </w:rPr>
      </w:pPr>
      <w:r w:rsidRPr="001E07BB">
        <w:rPr>
          <w:rFonts w:ascii="楷体_GB2312" w:eastAsia="楷体_GB2312" w:hAnsi="Calibri" w:cs="Times New Roman"/>
          <w:noProof/>
          <w:szCs w:val="21"/>
        </w:rPr>
        <w:lastRenderedPageBreak/>
        <w:drawing>
          <wp:inline distT="0" distB="0" distL="0" distR="0">
            <wp:extent cx="5534025" cy="3467100"/>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5B86" w:rsidRDefault="00E4526B" w:rsidP="00D10E4E">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图3</w:t>
      </w:r>
      <w:r w:rsidR="00D10E4E">
        <w:rPr>
          <w:rFonts w:ascii="楷体_GB2312" w:eastAsia="楷体_GB2312" w:hAnsi="Calibri" w:cs="Times New Roman" w:hint="eastAsia"/>
          <w:szCs w:val="21"/>
        </w:rPr>
        <w:t xml:space="preserve"> 2010年-2014年农业高校文献总经费（单位：元）</w:t>
      </w:r>
    </w:p>
    <w:p w:rsidR="008C5B86" w:rsidRDefault="008C5B86" w:rsidP="003D60EE">
      <w:pPr>
        <w:autoSpaceDE w:val="0"/>
        <w:autoSpaceDN w:val="0"/>
        <w:adjustRightInd w:val="0"/>
        <w:snapToGrid w:val="0"/>
        <w:spacing w:line="360" w:lineRule="auto"/>
        <w:rPr>
          <w:rFonts w:ascii="楷体_GB2312" w:eastAsia="楷体_GB2312" w:hAnsi="Calibri" w:cs="Times New Roman"/>
          <w:szCs w:val="21"/>
        </w:rPr>
      </w:pPr>
    </w:p>
    <w:p w:rsidR="00C97A55" w:rsidRDefault="001E07BB" w:rsidP="003D60EE">
      <w:pPr>
        <w:autoSpaceDE w:val="0"/>
        <w:autoSpaceDN w:val="0"/>
        <w:adjustRightInd w:val="0"/>
        <w:snapToGrid w:val="0"/>
        <w:spacing w:line="360" w:lineRule="auto"/>
        <w:rPr>
          <w:rFonts w:ascii="楷体_GB2312" w:eastAsia="楷体_GB2312" w:hAnsi="Calibri" w:cs="Times New Roman"/>
          <w:szCs w:val="21"/>
        </w:rPr>
      </w:pPr>
      <w:r w:rsidRPr="001E07BB">
        <w:rPr>
          <w:rFonts w:ascii="楷体_GB2312" w:eastAsia="楷体_GB2312" w:hAnsi="Calibri" w:cs="Times New Roman"/>
          <w:noProof/>
          <w:szCs w:val="21"/>
        </w:rPr>
        <w:drawing>
          <wp:inline distT="0" distB="0" distL="0" distR="0">
            <wp:extent cx="5274310" cy="3619373"/>
            <wp:effectExtent l="19050" t="0" r="21590" b="127"/>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5B86" w:rsidRPr="00D10E4E" w:rsidRDefault="00E4526B" w:rsidP="00D10E4E">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图4</w:t>
      </w:r>
      <w:r w:rsidR="00D10E4E">
        <w:rPr>
          <w:rFonts w:ascii="楷体_GB2312" w:eastAsia="楷体_GB2312" w:hAnsi="Calibri" w:cs="Times New Roman" w:hint="eastAsia"/>
          <w:szCs w:val="21"/>
        </w:rPr>
        <w:t xml:space="preserve"> 2010年-2014年农业高校电子资源经费（单位：元）</w:t>
      </w:r>
    </w:p>
    <w:p w:rsidR="00D10E4E" w:rsidRDefault="00D10E4E" w:rsidP="00D10E4E">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在2010年-2014年间，各涉农高校图书馆的文献总经费基本都在1500万元以下，只有西南大学2014年的文献总经费超过了2000万元；在2012年以前，多数学校图书馆文献总经费不足1000万元，而且相当一部分学校的文献总经费在500万元以下；2012以后文献总经费接近</w:t>
      </w:r>
      <w:r>
        <w:rPr>
          <w:rFonts w:ascii="楷体_GB2312" w:eastAsia="楷体_GB2312" w:hAnsi="Calibri" w:cs="Times New Roman" w:hint="eastAsia"/>
          <w:szCs w:val="21"/>
        </w:rPr>
        <w:lastRenderedPageBreak/>
        <w:t>或超过1000万元的学校明显增加。与之相应，从2010年-2014年各高校电子资源经费的分布散点图可以看出，到目前为止多数学校用于电子资源建设的经费集中在400万元以下，</w:t>
      </w:r>
      <w:r w:rsidR="00C26F20">
        <w:rPr>
          <w:rFonts w:ascii="楷体_GB2312" w:eastAsia="楷体_GB2312" w:hAnsi="Calibri" w:cs="Times New Roman" w:hint="eastAsia"/>
          <w:szCs w:val="21"/>
        </w:rPr>
        <w:t>其中低于200万元的学校占了相当大的比例。</w:t>
      </w:r>
      <w:r>
        <w:rPr>
          <w:rFonts w:ascii="楷体_GB2312" w:eastAsia="楷体_GB2312" w:hAnsi="Calibri" w:cs="Times New Roman" w:hint="eastAsia"/>
          <w:szCs w:val="21"/>
        </w:rPr>
        <w:t>2012年以后部分学校的电子资源经费增至400万元至800万元之间</w:t>
      </w:r>
      <w:r w:rsidR="00624857">
        <w:rPr>
          <w:rFonts w:ascii="楷体_GB2312" w:eastAsia="楷体_GB2312" w:hAnsi="Calibri" w:cs="Times New Roman" w:hint="eastAsia"/>
          <w:szCs w:val="21"/>
        </w:rPr>
        <w:t>，</w:t>
      </w:r>
      <w:r>
        <w:rPr>
          <w:rFonts w:ascii="楷体_GB2312" w:eastAsia="楷体_GB2312" w:hAnsi="Calibri" w:cs="Times New Roman" w:hint="eastAsia"/>
          <w:szCs w:val="21"/>
        </w:rPr>
        <w:t>也是只有西南大学2014年的电子资源经费超过了10000万元。</w:t>
      </w:r>
      <w:r w:rsidR="00E110B2">
        <w:rPr>
          <w:rFonts w:ascii="楷体_GB2312" w:eastAsia="楷体_GB2312" w:hAnsi="Calibri" w:cs="Times New Roman" w:hint="eastAsia"/>
          <w:szCs w:val="21"/>
        </w:rPr>
        <w:t>由此可见，农业高校图书馆</w:t>
      </w:r>
      <w:r w:rsidR="00624857">
        <w:rPr>
          <w:rFonts w:ascii="楷体_GB2312" w:eastAsia="楷体_GB2312" w:hAnsi="Calibri" w:cs="Times New Roman" w:hint="eastAsia"/>
          <w:szCs w:val="21"/>
        </w:rPr>
        <w:t>用于文献购置的总经费</w:t>
      </w:r>
      <w:r w:rsidR="00C26F20">
        <w:rPr>
          <w:rFonts w:ascii="楷体_GB2312" w:eastAsia="楷体_GB2312" w:hAnsi="Calibri" w:cs="Times New Roman" w:hint="eastAsia"/>
          <w:szCs w:val="21"/>
        </w:rPr>
        <w:t>多数在500万元—1000万元的区间内，</w:t>
      </w:r>
      <w:r w:rsidR="00624857">
        <w:rPr>
          <w:rFonts w:ascii="楷体_GB2312" w:eastAsia="楷体_GB2312" w:hAnsi="Calibri" w:cs="Times New Roman" w:hint="eastAsia"/>
          <w:szCs w:val="21"/>
        </w:rPr>
        <w:t>用于电子资源购置的经费</w:t>
      </w:r>
      <w:r w:rsidR="00C26F20">
        <w:rPr>
          <w:rFonts w:ascii="楷体_GB2312" w:eastAsia="楷体_GB2312" w:hAnsi="Calibri" w:cs="Times New Roman" w:hint="eastAsia"/>
          <w:szCs w:val="21"/>
        </w:rPr>
        <w:t>多数在100万元—400万元</w:t>
      </w:r>
      <w:r w:rsidR="0031439D">
        <w:rPr>
          <w:rFonts w:ascii="楷体_GB2312" w:eastAsia="楷体_GB2312" w:hAnsi="Calibri" w:cs="Times New Roman" w:hint="eastAsia"/>
          <w:szCs w:val="21"/>
        </w:rPr>
        <w:t>之间，整体水平在全国同类型高校中属于中等偏下。</w:t>
      </w:r>
    </w:p>
    <w:p w:rsidR="00D10E4E" w:rsidRPr="00BE37C4" w:rsidRDefault="00D143CB" w:rsidP="00D143CB">
      <w:pPr>
        <w:pStyle w:val="3"/>
        <w:adjustRightInd w:val="0"/>
        <w:snapToGrid w:val="0"/>
        <w:spacing w:before="0" w:after="0" w:line="360" w:lineRule="auto"/>
        <w:rPr>
          <w:sz w:val="24"/>
          <w:szCs w:val="24"/>
        </w:rPr>
      </w:pPr>
      <w:r w:rsidRPr="00BE37C4">
        <w:rPr>
          <w:rFonts w:hint="eastAsia"/>
          <w:sz w:val="24"/>
          <w:szCs w:val="24"/>
        </w:rPr>
        <w:t>2.3.2</w:t>
      </w:r>
      <w:r w:rsidR="00BE37C4" w:rsidRPr="00BE37C4">
        <w:rPr>
          <w:rFonts w:hint="eastAsia"/>
          <w:sz w:val="24"/>
          <w:szCs w:val="24"/>
        </w:rPr>
        <w:t>2010</w:t>
      </w:r>
      <w:r w:rsidR="00BE37C4" w:rsidRPr="00BE37C4">
        <w:rPr>
          <w:rFonts w:hint="eastAsia"/>
          <w:sz w:val="24"/>
          <w:szCs w:val="24"/>
        </w:rPr>
        <w:t>年</w:t>
      </w:r>
      <w:r w:rsidR="00BE37C4" w:rsidRPr="00BE37C4">
        <w:rPr>
          <w:rFonts w:hint="eastAsia"/>
          <w:sz w:val="24"/>
          <w:szCs w:val="24"/>
        </w:rPr>
        <w:t>-2014</w:t>
      </w:r>
      <w:r w:rsidR="00BE37C4" w:rsidRPr="00BE37C4">
        <w:rPr>
          <w:rFonts w:hint="eastAsia"/>
          <w:sz w:val="24"/>
          <w:szCs w:val="24"/>
        </w:rPr>
        <w:t>年</w:t>
      </w:r>
      <w:r w:rsidR="00BD0A69" w:rsidRPr="00BE37C4">
        <w:rPr>
          <w:rFonts w:hint="eastAsia"/>
          <w:sz w:val="24"/>
          <w:szCs w:val="24"/>
        </w:rPr>
        <w:t>农业高校近五年文献总经费与电子资源经费平均值统计</w:t>
      </w:r>
    </w:p>
    <w:p w:rsidR="00D10E4E" w:rsidRPr="00BE37C4" w:rsidRDefault="0031439D" w:rsidP="00F625B8">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我国是农业大国，农业高校也应该是国家高校重点建设的内容，从农业高校近五年的文献总经费与电子资源经费的平均值统计则可以看出</w:t>
      </w:r>
      <w:r w:rsidR="001250B4">
        <w:rPr>
          <w:rFonts w:ascii="楷体_GB2312" w:eastAsia="楷体_GB2312" w:hAnsi="Calibri" w:cs="Times New Roman" w:hint="eastAsia"/>
          <w:szCs w:val="21"/>
        </w:rPr>
        <w:t>明显的变化。（图5）</w:t>
      </w:r>
    </w:p>
    <w:p w:rsidR="00D10E4E" w:rsidRDefault="009227CE" w:rsidP="003D60EE">
      <w:pPr>
        <w:autoSpaceDE w:val="0"/>
        <w:autoSpaceDN w:val="0"/>
        <w:adjustRightInd w:val="0"/>
        <w:snapToGrid w:val="0"/>
        <w:spacing w:line="360" w:lineRule="auto"/>
        <w:rPr>
          <w:rFonts w:ascii="楷体_GB2312" w:eastAsia="楷体_GB2312" w:hAnsi="Calibri" w:cs="Times New Roman"/>
          <w:szCs w:val="21"/>
        </w:rPr>
      </w:pPr>
      <w:r>
        <w:rPr>
          <w:noProof/>
        </w:rPr>
        <w:drawing>
          <wp:inline distT="0" distB="0" distL="0" distR="0">
            <wp:extent cx="5274310" cy="3774465"/>
            <wp:effectExtent l="0" t="0" r="254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27CE" w:rsidRDefault="009227CE" w:rsidP="009227CE">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图5 2010年-2014年农业高校文献总经费与电子资源经费平均值（单位：元）</w:t>
      </w:r>
    </w:p>
    <w:p w:rsidR="009227CE" w:rsidRDefault="00382FC2" w:rsidP="003D60EE">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 xml:space="preserve">    从图5看出，在2010年—2014年的五年间，农业高校的文献总经费和电子资源经费处于稳定增长状态，总经费的平均年度涨幅约为12%，电子资源经费的平均年度涨幅约为20%</w:t>
      </w:r>
      <w:r w:rsidR="009C61A7">
        <w:rPr>
          <w:rFonts w:ascii="楷体_GB2312" w:eastAsia="楷体_GB2312" w:hAnsi="Calibri" w:cs="Times New Roman" w:hint="eastAsia"/>
          <w:szCs w:val="21"/>
        </w:rPr>
        <w:t>；图6则是2010年—2014年间电子资源在总经费中占比的平均值统计。</w:t>
      </w:r>
      <w:r w:rsidR="001F58C7">
        <w:rPr>
          <w:rFonts w:ascii="楷体_GB2312" w:eastAsia="楷体_GB2312" w:hAnsi="Calibri" w:cs="Times New Roman" w:hint="eastAsia"/>
          <w:szCs w:val="21"/>
        </w:rPr>
        <w:t>以</w:t>
      </w:r>
      <w:r w:rsidR="009C61A7">
        <w:rPr>
          <w:rFonts w:ascii="楷体_GB2312" w:eastAsia="楷体_GB2312" w:hAnsi="Calibri" w:cs="Times New Roman" w:hint="eastAsia"/>
          <w:szCs w:val="21"/>
        </w:rPr>
        <w:t>中国农业大学图书馆各类文献经费平均价格的涨幅分析</w:t>
      </w:r>
      <w:r w:rsidR="001F58C7">
        <w:rPr>
          <w:rFonts w:ascii="楷体_GB2312" w:eastAsia="楷体_GB2312" w:hAnsi="Calibri" w:cs="Times New Roman" w:hint="eastAsia"/>
          <w:szCs w:val="21"/>
        </w:rPr>
        <w:t>为例</w:t>
      </w:r>
      <w:r w:rsidR="009C61A7">
        <w:rPr>
          <w:rFonts w:ascii="楷体_GB2312" w:eastAsia="楷体_GB2312" w:hAnsi="Calibri" w:cs="Times New Roman" w:hint="eastAsia"/>
          <w:szCs w:val="21"/>
        </w:rPr>
        <w:t>，</w:t>
      </w:r>
      <w:r w:rsidR="001F58C7">
        <w:rPr>
          <w:rFonts w:ascii="楷体_GB2312" w:eastAsia="楷体_GB2312" w:hAnsi="Calibri" w:cs="Times New Roman" w:hint="eastAsia"/>
          <w:szCs w:val="21"/>
        </w:rPr>
        <w:t>可以</w:t>
      </w:r>
      <w:r w:rsidR="009C61A7">
        <w:rPr>
          <w:rFonts w:ascii="楷体_GB2312" w:eastAsia="楷体_GB2312" w:hAnsi="Calibri" w:cs="Times New Roman" w:hint="eastAsia"/>
          <w:szCs w:val="21"/>
        </w:rPr>
        <w:t>得出</w:t>
      </w:r>
      <w:r w:rsidR="001F58C7">
        <w:rPr>
          <w:rFonts w:ascii="楷体_GB2312" w:eastAsia="楷体_GB2312" w:hAnsi="Calibri" w:cs="Times New Roman" w:hint="eastAsia"/>
          <w:szCs w:val="21"/>
        </w:rPr>
        <w:t>2010年—2014年各类文献平均价格涨幅为8%—15%之间</w:t>
      </w:r>
      <w:r w:rsidR="00842E8A">
        <w:rPr>
          <w:rFonts w:ascii="楷体_GB2312" w:eastAsia="楷体_GB2312" w:hAnsi="Calibri" w:cs="Times New Roman" w:hint="eastAsia"/>
          <w:szCs w:val="21"/>
        </w:rPr>
        <w:t>。由此推</w:t>
      </w:r>
      <w:r w:rsidR="00F53232">
        <w:rPr>
          <w:rFonts w:ascii="楷体_GB2312" w:eastAsia="楷体_GB2312" w:hAnsi="Calibri" w:cs="Times New Roman" w:hint="eastAsia"/>
          <w:szCs w:val="21"/>
        </w:rPr>
        <w:t>断，各农业高校近五年总经费平均涨幅12%，基本与各类文献平均价格的涨幅持平，</w:t>
      </w:r>
      <w:r w:rsidR="00C305CD">
        <w:rPr>
          <w:rFonts w:ascii="楷体_GB2312" w:eastAsia="楷体_GB2312" w:hAnsi="Calibri" w:cs="Times New Roman" w:hint="eastAsia"/>
          <w:szCs w:val="21"/>
        </w:rPr>
        <w:t>农业高校近五年间的年度引进文献总量应该是保持基本稳定</w:t>
      </w:r>
      <w:r w:rsidR="00842D35">
        <w:rPr>
          <w:rFonts w:ascii="楷体_GB2312" w:eastAsia="楷体_GB2312" w:hAnsi="Calibri" w:cs="Times New Roman" w:hint="eastAsia"/>
          <w:szCs w:val="21"/>
        </w:rPr>
        <w:t>不变；而各校</w:t>
      </w:r>
      <w:r w:rsidR="00D257DB">
        <w:rPr>
          <w:rFonts w:ascii="楷体_GB2312" w:eastAsia="楷体_GB2312" w:hAnsi="Calibri" w:cs="Times New Roman" w:hint="eastAsia"/>
          <w:szCs w:val="21"/>
        </w:rPr>
        <w:t>用于</w:t>
      </w:r>
      <w:r w:rsidR="00842D35">
        <w:rPr>
          <w:rFonts w:ascii="楷体_GB2312" w:eastAsia="楷体_GB2312" w:hAnsi="Calibri" w:cs="Times New Roman" w:hint="eastAsia"/>
          <w:szCs w:val="21"/>
        </w:rPr>
        <w:t>引进电子资源的经费年度涨幅为20%，已超过了电子资源平均价格的</w:t>
      </w:r>
      <w:r w:rsidR="00D257DB">
        <w:rPr>
          <w:rFonts w:ascii="楷体_GB2312" w:eastAsia="楷体_GB2312" w:hAnsi="Calibri" w:cs="Times New Roman" w:hint="eastAsia"/>
          <w:szCs w:val="21"/>
        </w:rPr>
        <w:t>年度</w:t>
      </w:r>
      <w:r w:rsidR="00842D35">
        <w:rPr>
          <w:rFonts w:ascii="楷体_GB2312" w:eastAsia="楷体_GB2312" w:hAnsi="Calibri" w:cs="Times New Roman" w:hint="eastAsia"/>
          <w:szCs w:val="21"/>
        </w:rPr>
        <w:t>涨幅，所以各校在引进电子资源的总量应属于逐年增长状态。</w:t>
      </w:r>
      <w:r w:rsidR="00C53007">
        <w:rPr>
          <w:rFonts w:ascii="楷体_GB2312" w:eastAsia="楷体_GB2312" w:hAnsi="Calibri" w:cs="Times New Roman" w:hint="eastAsia"/>
          <w:szCs w:val="21"/>
        </w:rPr>
        <w:t>图6是</w:t>
      </w:r>
      <w:r w:rsidR="00D670CE">
        <w:rPr>
          <w:rFonts w:ascii="楷体_GB2312" w:eastAsia="楷体_GB2312" w:hAnsi="Calibri" w:cs="Times New Roman" w:hint="eastAsia"/>
          <w:szCs w:val="21"/>
        </w:rPr>
        <w:t>近五年各校电子资源经费与总经费占比的平均值统计，同样可以得出结论，近年来各校</w:t>
      </w:r>
      <w:r w:rsidR="00A3453E">
        <w:rPr>
          <w:rFonts w:ascii="楷体_GB2312" w:eastAsia="楷体_GB2312" w:hAnsi="Calibri" w:cs="Times New Roman" w:hint="eastAsia"/>
          <w:szCs w:val="21"/>
        </w:rPr>
        <w:t>越来越重视电子资源的地位，不断</w:t>
      </w:r>
      <w:r w:rsidR="00D670CE">
        <w:rPr>
          <w:rFonts w:ascii="楷体_GB2312" w:eastAsia="楷体_GB2312" w:hAnsi="Calibri" w:cs="Times New Roman" w:hint="eastAsia"/>
          <w:szCs w:val="21"/>
        </w:rPr>
        <w:t>加大电子资源</w:t>
      </w:r>
      <w:r w:rsidR="00A3453E">
        <w:rPr>
          <w:rFonts w:ascii="楷体_GB2312" w:eastAsia="楷体_GB2312" w:hAnsi="Calibri" w:cs="Times New Roman" w:hint="eastAsia"/>
          <w:szCs w:val="21"/>
        </w:rPr>
        <w:lastRenderedPageBreak/>
        <w:t>的经费投入</w:t>
      </w:r>
      <w:r w:rsidR="000D4563">
        <w:rPr>
          <w:rFonts w:ascii="楷体_GB2312" w:eastAsia="楷体_GB2312" w:hAnsi="Calibri" w:cs="Times New Roman" w:hint="eastAsia"/>
          <w:szCs w:val="21"/>
        </w:rPr>
        <w:t>，到目前为止，很多学校用于引进电子资源的经费都已经接近甚至超过总经费的50%</w:t>
      </w:r>
      <w:r w:rsidR="00A3453E">
        <w:rPr>
          <w:rFonts w:ascii="楷体_GB2312" w:eastAsia="楷体_GB2312" w:hAnsi="Calibri" w:cs="Times New Roman" w:hint="eastAsia"/>
          <w:szCs w:val="21"/>
        </w:rPr>
        <w:t>。</w:t>
      </w:r>
    </w:p>
    <w:p w:rsidR="00382FC2" w:rsidRDefault="00382FC2" w:rsidP="003D60EE">
      <w:pPr>
        <w:autoSpaceDE w:val="0"/>
        <w:autoSpaceDN w:val="0"/>
        <w:adjustRightInd w:val="0"/>
        <w:snapToGrid w:val="0"/>
        <w:spacing w:line="360" w:lineRule="auto"/>
        <w:rPr>
          <w:rFonts w:ascii="楷体_GB2312" w:eastAsia="楷体_GB2312" w:hAnsi="Calibri" w:cs="Times New Roman"/>
          <w:szCs w:val="21"/>
        </w:rPr>
      </w:pPr>
      <w:r>
        <w:rPr>
          <w:noProof/>
        </w:rPr>
        <w:drawing>
          <wp:inline distT="0" distB="0" distL="0" distR="0">
            <wp:extent cx="4972050" cy="36957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61A7" w:rsidRDefault="009C61A7" w:rsidP="009C61A7">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图6 2010年-2014年农业高校平均电子资源经费占比值</w:t>
      </w:r>
    </w:p>
    <w:p w:rsidR="00870686" w:rsidRDefault="00870686" w:rsidP="00870686">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 xml:space="preserve">    从</w:t>
      </w:r>
      <w:r w:rsidR="00BD7213">
        <w:rPr>
          <w:rFonts w:ascii="楷体_GB2312" w:eastAsia="楷体_GB2312" w:hAnsi="Calibri" w:cs="Times New Roman" w:hint="eastAsia"/>
          <w:szCs w:val="21"/>
        </w:rPr>
        <w:t>农业高校的文献经费与电子资源经费统计</w:t>
      </w:r>
      <w:r w:rsidR="00964678">
        <w:rPr>
          <w:rFonts w:ascii="楷体_GB2312" w:eastAsia="楷体_GB2312" w:hAnsi="Calibri" w:cs="Times New Roman" w:hint="eastAsia"/>
          <w:szCs w:val="21"/>
        </w:rPr>
        <w:t>分析</w:t>
      </w:r>
      <w:r w:rsidR="00BD7213">
        <w:rPr>
          <w:rFonts w:ascii="楷体_GB2312" w:eastAsia="楷体_GB2312" w:hAnsi="Calibri" w:cs="Times New Roman" w:hint="eastAsia"/>
          <w:szCs w:val="21"/>
        </w:rPr>
        <w:t>，可以</w:t>
      </w:r>
      <w:r w:rsidR="00964678">
        <w:rPr>
          <w:rFonts w:ascii="楷体_GB2312" w:eastAsia="楷体_GB2312" w:hAnsi="Calibri" w:cs="Times New Roman" w:hint="eastAsia"/>
          <w:szCs w:val="21"/>
        </w:rPr>
        <w:t>看到随着</w:t>
      </w:r>
      <w:r w:rsidR="009D3838">
        <w:rPr>
          <w:rFonts w:ascii="楷体_GB2312" w:eastAsia="楷体_GB2312" w:hAnsi="Calibri" w:cs="Times New Roman" w:hint="eastAsia"/>
          <w:szCs w:val="21"/>
        </w:rPr>
        <w:t>网络技术的迅猛</w:t>
      </w:r>
      <w:r w:rsidR="007100EA">
        <w:rPr>
          <w:rFonts w:ascii="楷体_GB2312" w:eastAsia="楷体_GB2312" w:hAnsi="Calibri" w:cs="Times New Roman" w:hint="eastAsia"/>
          <w:szCs w:val="21"/>
        </w:rPr>
        <w:t>发展，电子</w:t>
      </w:r>
      <w:r w:rsidR="008C65D9">
        <w:rPr>
          <w:rFonts w:ascii="楷体_GB2312" w:eastAsia="楷体_GB2312" w:hAnsi="Calibri" w:cs="Times New Roman" w:hint="eastAsia"/>
          <w:szCs w:val="21"/>
        </w:rPr>
        <w:t>文献</w:t>
      </w:r>
      <w:r w:rsidR="007100EA">
        <w:rPr>
          <w:rFonts w:ascii="楷体_GB2312" w:eastAsia="楷体_GB2312" w:hAnsi="Calibri" w:cs="Times New Roman" w:hint="eastAsia"/>
          <w:szCs w:val="21"/>
        </w:rPr>
        <w:t>资源凭借着使用方便、传递迅速、存储</w:t>
      </w:r>
      <w:r w:rsidR="0016284F">
        <w:rPr>
          <w:rFonts w:ascii="楷体_GB2312" w:eastAsia="楷体_GB2312" w:hAnsi="Calibri" w:cs="Times New Roman" w:hint="eastAsia"/>
          <w:szCs w:val="21"/>
        </w:rPr>
        <w:t>成本低的特点将逐渐成为高校文献资源的主要类型</w:t>
      </w:r>
      <w:r w:rsidR="008C65D9">
        <w:rPr>
          <w:rFonts w:ascii="楷体_GB2312" w:eastAsia="楷体_GB2312" w:hAnsi="Calibri" w:cs="Times New Roman" w:hint="eastAsia"/>
          <w:szCs w:val="21"/>
        </w:rPr>
        <w:t>。然而将2010年-2014年各农业高校的经费</w:t>
      </w:r>
      <w:r w:rsidR="00022486">
        <w:rPr>
          <w:rFonts w:ascii="楷体_GB2312" w:eastAsia="楷体_GB2312" w:hAnsi="Calibri" w:cs="Times New Roman" w:hint="eastAsia"/>
          <w:szCs w:val="21"/>
        </w:rPr>
        <w:t>状况与各校引进电子图书的数量进行比对，则</w:t>
      </w:r>
      <w:r w:rsidR="00892DF7">
        <w:rPr>
          <w:rFonts w:ascii="楷体_GB2312" w:eastAsia="楷体_GB2312" w:hAnsi="Calibri" w:cs="Times New Roman" w:hint="eastAsia"/>
          <w:szCs w:val="21"/>
        </w:rPr>
        <w:t>可发现虽然各校电子资源的建设速度很快，但是</w:t>
      </w:r>
      <w:r w:rsidR="006112BF">
        <w:rPr>
          <w:rFonts w:ascii="楷体_GB2312" w:eastAsia="楷体_GB2312" w:hAnsi="Calibri" w:cs="Times New Roman" w:hint="eastAsia"/>
          <w:szCs w:val="21"/>
        </w:rPr>
        <w:t>绝大多数是</w:t>
      </w:r>
      <w:r w:rsidR="0062221F">
        <w:rPr>
          <w:rFonts w:ascii="楷体_GB2312" w:eastAsia="楷体_GB2312" w:hAnsi="Calibri" w:cs="Times New Roman" w:hint="eastAsia"/>
          <w:szCs w:val="21"/>
        </w:rPr>
        <w:t>以</w:t>
      </w:r>
      <w:r w:rsidR="00892DF7">
        <w:rPr>
          <w:rFonts w:ascii="楷体_GB2312" w:eastAsia="楷体_GB2312" w:hAnsi="Calibri" w:cs="Times New Roman" w:hint="eastAsia"/>
          <w:szCs w:val="21"/>
        </w:rPr>
        <w:t>引进电子期刊</w:t>
      </w:r>
      <w:r w:rsidR="0062221F">
        <w:rPr>
          <w:rFonts w:ascii="楷体_GB2312" w:eastAsia="楷体_GB2312" w:hAnsi="Calibri" w:cs="Times New Roman" w:hint="eastAsia"/>
          <w:szCs w:val="21"/>
        </w:rPr>
        <w:t>为主，电子图书的引进比例相对较低，而原版电子图书的占比则更低</w:t>
      </w:r>
      <w:r w:rsidR="006112BF">
        <w:rPr>
          <w:rFonts w:ascii="楷体_GB2312" w:eastAsia="楷体_GB2312" w:hAnsi="Calibri" w:cs="Times New Roman" w:hint="eastAsia"/>
          <w:szCs w:val="21"/>
        </w:rPr>
        <w:t>。</w:t>
      </w:r>
      <w:r w:rsidR="00757CE4">
        <w:rPr>
          <w:rFonts w:ascii="楷体_GB2312" w:eastAsia="楷体_GB2312" w:hAnsi="Calibri" w:cs="Times New Roman" w:hint="eastAsia"/>
          <w:szCs w:val="21"/>
        </w:rPr>
        <w:t>由此可见</w:t>
      </w:r>
      <w:r w:rsidR="006112BF">
        <w:rPr>
          <w:rFonts w:ascii="楷体_GB2312" w:eastAsia="楷体_GB2312" w:hAnsi="Calibri" w:cs="Times New Roman" w:hint="eastAsia"/>
          <w:szCs w:val="21"/>
        </w:rPr>
        <w:t>，各农业高校引进的原版电子图书/教材的数量</w:t>
      </w:r>
      <w:r w:rsidR="00757CE4">
        <w:rPr>
          <w:rFonts w:ascii="楷体_GB2312" w:eastAsia="楷体_GB2312" w:hAnsi="Calibri" w:cs="Times New Roman" w:hint="eastAsia"/>
          <w:szCs w:val="21"/>
        </w:rPr>
        <w:t>还</w:t>
      </w:r>
      <w:r w:rsidR="006112BF">
        <w:rPr>
          <w:rFonts w:ascii="楷体_GB2312" w:eastAsia="楷体_GB2312" w:hAnsi="Calibri" w:cs="Times New Roman" w:hint="eastAsia"/>
          <w:szCs w:val="21"/>
        </w:rPr>
        <w:t>远远不能满足广大师生的需求，</w:t>
      </w:r>
      <w:r w:rsidR="00757CE4">
        <w:rPr>
          <w:rFonts w:ascii="楷体_GB2312" w:eastAsia="楷体_GB2312" w:hAnsi="Calibri" w:cs="Times New Roman" w:hint="eastAsia"/>
          <w:szCs w:val="21"/>
        </w:rPr>
        <w:t>对各农业高校原版电子图书/教材的建设现状及需求特点进行深入调研，着重加强原版电子图书/教材的引进与建设工作已是图书馆面临的一项重要工作。</w:t>
      </w:r>
    </w:p>
    <w:p w:rsidR="00B96090" w:rsidRPr="0099614E" w:rsidRDefault="00B96090" w:rsidP="0099614E">
      <w:pPr>
        <w:pStyle w:val="2"/>
        <w:adjustRightInd w:val="0"/>
        <w:snapToGrid w:val="0"/>
        <w:spacing w:before="0" w:after="0" w:line="360" w:lineRule="auto"/>
      </w:pPr>
      <w:r w:rsidRPr="0099614E">
        <w:rPr>
          <w:rFonts w:hint="eastAsia"/>
        </w:rPr>
        <w:t>2.4</w:t>
      </w:r>
      <w:r w:rsidRPr="0099614E">
        <w:rPr>
          <w:rFonts w:hint="eastAsia"/>
        </w:rPr>
        <w:t>农业高校原版电子图书</w:t>
      </w:r>
      <w:r w:rsidRPr="0099614E">
        <w:rPr>
          <w:rFonts w:hint="eastAsia"/>
        </w:rPr>
        <w:t>/</w:t>
      </w:r>
      <w:r w:rsidRPr="0099614E">
        <w:rPr>
          <w:rFonts w:hint="eastAsia"/>
        </w:rPr>
        <w:t>教材的引进方式分析</w:t>
      </w:r>
    </w:p>
    <w:p w:rsidR="003E1EE2" w:rsidRDefault="001134CA" w:rsidP="001134CA">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做好原版电子图书的引进工作，除了要有充足的经费作为保障外，还需要对电子图书</w:t>
      </w:r>
      <w:r w:rsidR="003E1EE2">
        <w:rPr>
          <w:rFonts w:ascii="楷体_GB2312" w:eastAsia="楷体_GB2312" w:hAnsi="Calibri" w:cs="Times New Roman" w:hint="eastAsia"/>
          <w:szCs w:val="21"/>
        </w:rPr>
        <w:t>内容、使用方式、购买模式全面进行充分的调研，最终根据各自学校的实际经济条件做出最佳性价比的选择。</w:t>
      </w:r>
    </w:p>
    <w:p w:rsidR="00654509" w:rsidRPr="00771AF9" w:rsidRDefault="00654509" w:rsidP="00771AF9">
      <w:pPr>
        <w:pStyle w:val="3"/>
        <w:adjustRightInd w:val="0"/>
        <w:snapToGrid w:val="0"/>
        <w:spacing w:before="0" w:after="0" w:line="360" w:lineRule="auto"/>
        <w:rPr>
          <w:sz w:val="24"/>
          <w:szCs w:val="24"/>
        </w:rPr>
      </w:pPr>
      <w:r w:rsidRPr="00771AF9">
        <w:rPr>
          <w:rFonts w:hint="eastAsia"/>
          <w:sz w:val="24"/>
          <w:szCs w:val="24"/>
        </w:rPr>
        <w:t xml:space="preserve">2.4.1 </w:t>
      </w:r>
      <w:r w:rsidRPr="00771AF9">
        <w:rPr>
          <w:rFonts w:hint="eastAsia"/>
          <w:sz w:val="24"/>
          <w:szCs w:val="24"/>
        </w:rPr>
        <w:t>电子图书</w:t>
      </w:r>
      <w:r w:rsidR="005F1384">
        <w:rPr>
          <w:rFonts w:hint="eastAsia"/>
          <w:sz w:val="24"/>
          <w:szCs w:val="24"/>
        </w:rPr>
        <w:t>的</w:t>
      </w:r>
      <w:r w:rsidRPr="00771AF9">
        <w:rPr>
          <w:rFonts w:hint="eastAsia"/>
          <w:sz w:val="24"/>
          <w:szCs w:val="24"/>
        </w:rPr>
        <w:t>内容</w:t>
      </w:r>
      <w:r w:rsidR="005F1384">
        <w:rPr>
          <w:rFonts w:hint="eastAsia"/>
          <w:sz w:val="24"/>
          <w:szCs w:val="24"/>
        </w:rPr>
        <w:t>特点</w:t>
      </w:r>
    </w:p>
    <w:p w:rsidR="00AA513D" w:rsidRDefault="003C044B" w:rsidP="00161FEB">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选择引进电子图书首先要考虑的是电子图书的内容</w:t>
      </w:r>
      <w:r w:rsidR="00F03104">
        <w:rPr>
          <w:rFonts w:ascii="楷体_GB2312" w:eastAsia="楷体_GB2312" w:hAnsi="Calibri" w:cs="Times New Roman" w:hint="eastAsia"/>
          <w:szCs w:val="21"/>
        </w:rPr>
        <w:t>，</w:t>
      </w:r>
      <w:r w:rsidR="00161FEB">
        <w:rPr>
          <w:rFonts w:ascii="楷体_GB2312" w:eastAsia="楷体_GB2312" w:hAnsi="Calibri" w:cs="Times New Roman" w:hint="eastAsia"/>
          <w:szCs w:val="21"/>
        </w:rPr>
        <w:t>与印刷版图书不同的是，电子图书在引进和使用过程中都对其规模有一定的要求，商家也多是提供各种学科包进行销售，所以引进电子图书无法做到逐本挑选。这种图书的规模性和集中性则对引进电子图书时图书内容</w:t>
      </w:r>
      <w:r w:rsidR="00161FEB">
        <w:rPr>
          <w:rFonts w:ascii="楷体_GB2312" w:eastAsia="楷体_GB2312" w:hAnsi="Calibri" w:cs="Times New Roman" w:hint="eastAsia"/>
          <w:szCs w:val="21"/>
        </w:rPr>
        <w:lastRenderedPageBreak/>
        <w:t>的科学选择有了更高要求。</w:t>
      </w:r>
      <w:r w:rsidR="00493CDF">
        <w:rPr>
          <w:rFonts w:ascii="楷体_GB2312" w:eastAsia="楷体_GB2312" w:hAnsi="Calibri" w:cs="Times New Roman" w:hint="eastAsia"/>
          <w:szCs w:val="21"/>
        </w:rPr>
        <w:t>对</w:t>
      </w:r>
      <w:r w:rsidR="00B97D4F">
        <w:rPr>
          <w:rFonts w:ascii="楷体_GB2312" w:eastAsia="楷体_GB2312" w:hAnsi="Calibri" w:cs="Times New Roman" w:hint="eastAsia"/>
          <w:szCs w:val="21"/>
        </w:rPr>
        <w:t>目前国内已经引进的各种原版电子图书</w:t>
      </w:r>
      <w:r w:rsidR="00AA513D">
        <w:rPr>
          <w:rFonts w:ascii="楷体_GB2312" w:eastAsia="楷体_GB2312" w:hAnsi="Calibri" w:cs="Times New Roman" w:hint="eastAsia"/>
          <w:szCs w:val="21"/>
        </w:rPr>
        <w:t>从内容上进行归类，大致可以分为三种类型:</w:t>
      </w:r>
    </w:p>
    <w:p w:rsidR="00654509" w:rsidRDefault="00AA513D" w:rsidP="00FC53AF">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第一种是</w:t>
      </w:r>
      <w:r w:rsidR="00161FEB">
        <w:rPr>
          <w:rFonts w:ascii="楷体_GB2312" w:eastAsia="楷体_GB2312" w:hAnsi="Calibri" w:cs="Times New Roman" w:hint="eastAsia"/>
          <w:szCs w:val="21"/>
        </w:rPr>
        <w:t>由学/协会出版社或者是具有明显学科特色的非商业出版社直接提供的电子图书，例如</w:t>
      </w:r>
      <w:r w:rsidR="0053525D">
        <w:rPr>
          <w:rFonts w:ascii="楷体_GB2312" w:eastAsia="楷体_GB2312" w:hAnsi="Calibri" w:cs="Times New Roman" w:hint="eastAsia"/>
          <w:szCs w:val="21"/>
        </w:rPr>
        <w:t>前面</w:t>
      </w:r>
      <w:r w:rsidR="00961635">
        <w:rPr>
          <w:rFonts w:ascii="楷体_GB2312" w:eastAsia="楷体_GB2312" w:hAnsi="Calibri" w:cs="Times New Roman" w:hint="eastAsia"/>
          <w:szCs w:val="21"/>
        </w:rPr>
        <w:t>统计各农业高校引进</w:t>
      </w:r>
      <w:r w:rsidR="0053525D">
        <w:rPr>
          <w:rFonts w:ascii="楷体_GB2312" w:eastAsia="楷体_GB2312" w:hAnsi="Calibri" w:cs="Times New Roman" w:hint="eastAsia"/>
          <w:szCs w:val="21"/>
        </w:rPr>
        <w:t>的</w:t>
      </w:r>
      <w:r w:rsidR="00FC53AF" w:rsidRPr="00FC53AF">
        <w:rPr>
          <w:rFonts w:ascii="楷体_GB2312" w:eastAsia="楷体_GB2312" w:hAnsi="Calibri" w:cs="Times New Roman" w:hint="eastAsia"/>
          <w:szCs w:val="21"/>
        </w:rPr>
        <w:t>CABI（国际应用生物科学中心）</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IDRC（加拿大国际发展研究中心）</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RSC（英国皇家化学学会）</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ACS（美国化学学会）</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ASME（美国机械工程师学会）</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EMS（欧洲数学学会）</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IET（英国工程技术学会）</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SIAM（美国工业和应用数学学会）</w:t>
      </w:r>
      <w:r w:rsidR="0053525D">
        <w:rPr>
          <w:rFonts w:ascii="楷体_GB2312" w:eastAsia="楷体_GB2312" w:hAnsi="Calibri" w:cs="Times New Roman" w:hint="eastAsia"/>
          <w:szCs w:val="21"/>
        </w:rPr>
        <w:t>、</w:t>
      </w:r>
      <w:r w:rsidR="00FC53AF" w:rsidRPr="00FC53AF">
        <w:rPr>
          <w:rFonts w:ascii="楷体_GB2312" w:eastAsia="楷体_GB2312" w:hAnsi="Calibri" w:cs="Times New Roman" w:hint="eastAsia"/>
          <w:szCs w:val="21"/>
        </w:rPr>
        <w:t>SPIE（国际光学工程学会）</w:t>
      </w:r>
      <w:r w:rsidR="0059148E">
        <w:rPr>
          <w:rFonts w:ascii="楷体_GB2312" w:eastAsia="楷体_GB2312" w:hAnsi="Calibri" w:cs="Times New Roman" w:hint="eastAsia"/>
          <w:szCs w:val="21"/>
        </w:rPr>
        <w:t>等出版社提供的电子图书，都具有非常明确的学科特点，而且这些出版社出版</w:t>
      </w:r>
      <w:r w:rsidR="007A1B09">
        <w:rPr>
          <w:rFonts w:ascii="楷体_GB2312" w:eastAsia="楷体_GB2312" w:hAnsi="Calibri" w:cs="Times New Roman" w:hint="eastAsia"/>
          <w:szCs w:val="21"/>
        </w:rPr>
        <w:t>的</w:t>
      </w:r>
      <w:r w:rsidR="0059148E">
        <w:rPr>
          <w:rFonts w:ascii="楷体_GB2312" w:eastAsia="楷体_GB2312" w:hAnsi="Calibri" w:cs="Times New Roman" w:hint="eastAsia"/>
          <w:szCs w:val="21"/>
        </w:rPr>
        <w:t>图书在本学科领域中</w:t>
      </w:r>
      <w:r w:rsidR="00E04892">
        <w:rPr>
          <w:rFonts w:ascii="楷体_GB2312" w:eastAsia="楷体_GB2312" w:hAnsi="Calibri" w:cs="Times New Roman" w:hint="eastAsia"/>
          <w:szCs w:val="21"/>
        </w:rPr>
        <w:t>具有权威地位，学术质量</w:t>
      </w:r>
      <w:r w:rsidR="007A1B09">
        <w:rPr>
          <w:rFonts w:ascii="楷体_GB2312" w:eastAsia="楷体_GB2312" w:hAnsi="Calibri" w:cs="Times New Roman" w:hint="eastAsia"/>
          <w:szCs w:val="21"/>
        </w:rPr>
        <w:t>可以得到保障。</w:t>
      </w:r>
    </w:p>
    <w:p w:rsidR="007A1B09" w:rsidRDefault="007A1B09" w:rsidP="00876CE9">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第二种是由商业出版社提供的电子图书，</w:t>
      </w:r>
      <w:r w:rsidR="00876CE9">
        <w:rPr>
          <w:rFonts w:ascii="楷体_GB2312" w:eastAsia="楷体_GB2312" w:hAnsi="Calibri" w:cs="Times New Roman" w:hint="eastAsia"/>
          <w:szCs w:val="21"/>
        </w:rPr>
        <w:t>如</w:t>
      </w:r>
      <w:r w:rsidR="00876CE9" w:rsidRPr="00876CE9">
        <w:rPr>
          <w:rFonts w:ascii="楷体_GB2312" w:eastAsia="楷体_GB2312" w:hAnsi="Calibri" w:cs="Times New Roman" w:hint="eastAsia"/>
          <w:szCs w:val="21"/>
        </w:rPr>
        <w:t>Springer</w:t>
      </w:r>
      <w:r w:rsidR="00876CE9">
        <w:rPr>
          <w:rFonts w:ascii="楷体_GB2312" w:eastAsia="楷体_GB2312" w:hAnsi="Calibri" w:cs="Times New Roman" w:hint="eastAsia"/>
          <w:szCs w:val="21"/>
        </w:rPr>
        <w:t>出版社、</w:t>
      </w:r>
      <w:r w:rsidR="00876CE9" w:rsidRPr="00876CE9">
        <w:rPr>
          <w:rFonts w:ascii="楷体_GB2312" w:eastAsia="楷体_GB2312" w:hAnsi="Calibri" w:cs="Times New Roman" w:hint="eastAsia"/>
          <w:szCs w:val="21"/>
        </w:rPr>
        <w:t>Elsevier</w:t>
      </w:r>
      <w:r w:rsidR="00876CE9">
        <w:rPr>
          <w:rFonts w:ascii="楷体_GB2312" w:eastAsia="楷体_GB2312" w:hAnsi="Calibri" w:cs="Times New Roman" w:hint="eastAsia"/>
          <w:szCs w:val="21"/>
        </w:rPr>
        <w:t xml:space="preserve">出版社、John </w:t>
      </w:r>
      <w:r w:rsidR="00876CE9" w:rsidRPr="00876CE9">
        <w:rPr>
          <w:rFonts w:ascii="楷体_GB2312" w:eastAsia="楷体_GB2312" w:hAnsi="Calibri" w:cs="Times New Roman" w:hint="eastAsia"/>
          <w:szCs w:val="21"/>
        </w:rPr>
        <w:t>Wiley</w:t>
      </w:r>
      <w:r w:rsidR="00876CE9">
        <w:rPr>
          <w:rFonts w:ascii="楷体_GB2312" w:eastAsia="楷体_GB2312" w:hAnsi="Calibri" w:cs="Times New Roman" w:hint="eastAsia"/>
          <w:szCs w:val="21"/>
        </w:rPr>
        <w:t>出版社、</w:t>
      </w:r>
      <w:r w:rsidR="00876CE9" w:rsidRPr="00876CE9">
        <w:rPr>
          <w:rFonts w:ascii="楷体_GB2312" w:eastAsia="楷体_GB2312" w:hAnsi="Calibri" w:cs="Times New Roman" w:hint="eastAsia"/>
          <w:szCs w:val="21"/>
        </w:rPr>
        <w:t>Emerald</w:t>
      </w:r>
      <w:r w:rsidR="00876CE9">
        <w:rPr>
          <w:rFonts w:ascii="楷体_GB2312" w:eastAsia="楷体_GB2312" w:hAnsi="Calibri" w:cs="Times New Roman" w:hint="eastAsia"/>
          <w:szCs w:val="21"/>
        </w:rPr>
        <w:t>出版社、</w:t>
      </w:r>
      <w:r w:rsidR="00876CE9" w:rsidRPr="00876CE9">
        <w:rPr>
          <w:rFonts w:ascii="楷体_GB2312" w:eastAsia="楷体_GB2312" w:hAnsi="Calibri" w:cs="Times New Roman" w:hint="eastAsia"/>
          <w:szCs w:val="21"/>
        </w:rPr>
        <w:t>Taylor&amp; Francis</w:t>
      </w:r>
      <w:r w:rsidR="00876CE9">
        <w:rPr>
          <w:rFonts w:ascii="楷体_GB2312" w:eastAsia="楷体_GB2312" w:hAnsi="Calibri" w:cs="Times New Roman" w:hint="eastAsia"/>
          <w:szCs w:val="21"/>
        </w:rPr>
        <w:t>出版社等都属于这种类型，这些出版社在国际上都属于规模较大，知名度较高，所出版图书质量整体上可以保障。但需要注意的是，仔细研究这些商业出版社的</w:t>
      </w:r>
      <w:r w:rsidR="008239E6">
        <w:rPr>
          <w:rFonts w:ascii="楷体_GB2312" w:eastAsia="楷体_GB2312" w:hAnsi="Calibri" w:cs="Times New Roman" w:hint="eastAsia"/>
          <w:szCs w:val="21"/>
        </w:rPr>
        <w:t>历史、发展以及读者对已出版社图书的评价，可以发现不同出版社在学科上还是有所侧重的。例如Springer出版社在工程方面</w:t>
      </w:r>
      <w:r w:rsidR="00846667">
        <w:rPr>
          <w:rFonts w:ascii="楷体_GB2312" w:eastAsia="楷体_GB2312" w:hAnsi="Calibri" w:cs="Times New Roman" w:hint="eastAsia"/>
          <w:szCs w:val="21"/>
        </w:rPr>
        <w:t>具有较强优势</w:t>
      </w:r>
      <w:r w:rsidR="002D3225">
        <w:rPr>
          <w:rFonts w:ascii="楷体_GB2312" w:eastAsia="楷体_GB2312" w:hAnsi="Calibri" w:cs="Times New Roman" w:hint="eastAsia"/>
          <w:szCs w:val="21"/>
        </w:rPr>
        <w:t>；</w:t>
      </w:r>
      <w:r w:rsidR="00846667">
        <w:rPr>
          <w:rFonts w:ascii="楷体_GB2312" w:eastAsia="楷体_GB2312" w:hAnsi="Calibri" w:cs="Times New Roman" w:hint="eastAsia"/>
          <w:szCs w:val="21"/>
        </w:rPr>
        <w:t>Elsevier出版社在自然科学方面</w:t>
      </w:r>
      <w:r w:rsidR="00525E35">
        <w:rPr>
          <w:rFonts w:ascii="楷体_GB2312" w:eastAsia="楷体_GB2312" w:hAnsi="Calibri" w:cs="Times New Roman" w:hint="eastAsia"/>
          <w:szCs w:val="21"/>
        </w:rPr>
        <w:t>具有较强优势</w:t>
      </w:r>
      <w:r w:rsidR="002D3225">
        <w:rPr>
          <w:rFonts w:ascii="楷体_GB2312" w:eastAsia="楷体_GB2312" w:hAnsi="Calibri" w:cs="Times New Roman" w:hint="eastAsia"/>
          <w:szCs w:val="21"/>
        </w:rPr>
        <w:t>；John Wiley出版社偏重化学学科</w:t>
      </w:r>
      <w:r w:rsidR="00525E35">
        <w:rPr>
          <w:rFonts w:ascii="楷体_GB2312" w:eastAsia="楷体_GB2312" w:hAnsi="Calibri" w:cs="Times New Roman" w:hint="eastAsia"/>
          <w:szCs w:val="21"/>
        </w:rPr>
        <w:t>，而该出版社旗下原BlackWell</w:t>
      </w:r>
      <w:r w:rsidR="00897262">
        <w:rPr>
          <w:rFonts w:ascii="楷体_GB2312" w:eastAsia="楷体_GB2312" w:hAnsi="Calibri" w:cs="Times New Roman" w:hint="eastAsia"/>
          <w:szCs w:val="21"/>
        </w:rPr>
        <w:t>出版的农业、畜牧兽医类图书则一直在该学科领域处于权威地位</w:t>
      </w:r>
      <w:r w:rsidR="003224B8">
        <w:rPr>
          <w:rFonts w:ascii="楷体_GB2312" w:eastAsia="楷体_GB2312" w:hAnsi="Calibri" w:cs="Times New Roman" w:hint="eastAsia"/>
          <w:szCs w:val="21"/>
        </w:rPr>
        <w:t>；</w:t>
      </w:r>
      <w:r w:rsidR="003224B8" w:rsidRPr="00876CE9">
        <w:rPr>
          <w:rFonts w:ascii="楷体_GB2312" w:eastAsia="楷体_GB2312" w:hAnsi="Calibri" w:cs="Times New Roman" w:hint="eastAsia"/>
          <w:szCs w:val="21"/>
        </w:rPr>
        <w:t>Emerald</w:t>
      </w:r>
      <w:r w:rsidR="003224B8">
        <w:rPr>
          <w:rFonts w:ascii="楷体_GB2312" w:eastAsia="楷体_GB2312" w:hAnsi="Calibri" w:cs="Times New Roman" w:hint="eastAsia"/>
          <w:szCs w:val="21"/>
        </w:rPr>
        <w:t>出版社则侧重社会科学、管理科学等学科</w:t>
      </w:r>
      <w:r w:rsidR="00897262">
        <w:rPr>
          <w:rFonts w:ascii="楷体_GB2312" w:eastAsia="楷体_GB2312" w:hAnsi="Calibri" w:cs="Times New Roman" w:hint="eastAsia"/>
          <w:szCs w:val="21"/>
        </w:rPr>
        <w:t>。因此，高校如果要选择引进商业出版社的电子图书，比必须对该社出版内容的学科特点进行考量，然后结合本校学科发展与教学科研的实际需求做出最终的选择决策。</w:t>
      </w:r>
    </w:p>
    <w:p w:rsidR="00897262" w:rsidRPr="00897262" w:rsidRDefault="00F83667" w:rsidP="00876CE9">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第三种类型是由集成商提供的电子图书，</w:t>
      </w:r>
      <w:r w:rsidR="00522D8E">
        <w:rPr>
          <w:rFonts w:ascii="楷体_GB2312" w:eastAsia="楷体_GB2312" w:hAnsi="Calibri" w:cs="Times New Roman" w:hint="eastAsia"/>
          <w:szCs w:val="21"/>
        </w:rPr>
        <w:t>这类</w:t>
      </w:r>
      <w:r>
        <w:rPr>
          <w:rFonts w:ascii="楷体_GB2312" w:eastAsia="楷体_GB2312" w:hAnsi="Calibri" w:cs="Times New Roman" w:hint="eastAsia"/>
          <w:szCs w:val="21"/>
        </w:rPr>
        <w:t>电子图书</w:t>
      </w:r>
      <w:r w:rsidR="00522D8E">
        <w:rPr>
          <w:rFonts w:ascii="楷体_GB2312" w:eastAsia="楷体_GB2312" w:hAnsi="Calibri" w:cs="Times New Roman" w:hint="eastAsia"/>
          <w:szCs w:val="21"/>
        </w:rPr>
        <w:t>多是由集成商从</w:t>
      </w:r>
      <w:r w:rsidR="006C6886">
        <w:rPr>
          <w:rFonts w:ascii="楷体_GB2312" w:eastAsia="楷体_GB2312" w:hAnsi="Calibri" w:cs="Times New Roman" w:hint="eastAsia"/>
          <w:szCs w:val="21"/>
        </w:rPr>
        <w:t>各出版社购买了相应的图书版权，汇总后集中在一个</w:t>
      </w:r>
      <w:r w:rsidR="00CE372A">
        <w:rPr>
          <w:rFonts w:ascii="楷体_GB2312" w:eastAsia="楷体_GB2312" w:hAnsi="Calibri" w:cs="Times New Roman" w:hint="eastAsia"/>
          <w:szCs w:val="21"/>
        </w:rPr>
        <w:t>平台上提供服务</w:t>
      </w:r>
      <w:r w:rsidR="00FF07E8">
        <w:rPr>
          <w:rFonts w:ascii="楷体_GB2312" w:eastAsia="楷体_GB2312" w:hAnsi="Calibri" w:cs="Times New Roman" w:hint="eastAsia"/>
          <w:szCs w:val="21"/>
        </w:rPr>
        <w:t>，因此会出现包含众多出版社、出版时间段相差很大，版次参差不齐等情况</w:t>
      </w:r>
      <w:r w:rsidR="00CE372A">
        <w:rPr>
          <w:rFonts w:ascii="楷体_GB2312" w:eastAsia="楷体_GB2312" w:hAnsi="Calibri" w:cs="Times New Roman" w:hint="eastAsia"/>
          <w:szCs w:val="21"/>
        </w:rPr>
        <w:t>。</w:t>
      </w:r>
      <w:r w:rsidR="00FF07E8">
        <w:rPr>
          <w:rFonts w:ascii="楷体_GB2312" w:eastAsia="楷体_GB2312" w:hAnsi="Calibri" w:cs="Times New Roman" w:hint="eastAsia"/>
          <w:szCs w:val="21"/>
        </w:rPr>
        <w:t>所以在选择引进这类电子图书时，就需要具体分析这些图书的学科内容是否属于各出版社的优势学科；同时要对所有图书出版时间段进行大致划分，从而保证图书的时效性，例如计算机学科的图书就要求实效性很强，超过五年以上的学术价值就会降低。</w:t>
      </w:r>
    </w:p>
    <w:p w:rsidR="00654509" w:rsidRPr="00771AF9" w:rsidRDefault="00654509" w:rsidP="00771AF9">
      <w:pPr>
        <w:pStyle w:val="3"/>
        <w:adjustRightInd w:val="0"/>
        <w:snapToGrid w:val="0"/>
        <w:spacing w:before="0" w:after="0" w:line="360" w:lineRule="auto"/>
        <w:rPr>
          <w:sz w:val="24"/>
          <w:szCs w:val="24"/>
        </w:rPr>
      </w:pPr>
      <w:r w:rsidRPr="00771AF9">
        <w:rPr>
          <w:rFonts w:hint="eastAsia"/>
          <w:sz w:val="24"/>
          <w:szCs w:val="24"/>
        </w:rPr>
        <w:t xml:space="preserve">2.4.2 </w:t>
      </w:r>
      <w:r w:rsidRPr="00771AF9">
        <w:rPr>
          <w:rFonts w:hint="eastAsia"/>
          <w:sz w:val="24"/>
          <w:szCs w:val="24"/>
        </w:rPr>
        <w:t>电子图书</w:t>
      </w:r>
      <w:r w:rsidR="005F1384">
        <w:rPr>
          <w:rFonts w:hint="eastAsia"/>
          <w:sz w:val="24"/>
          <w:szCs w:val="24"/>
        </w:rPr>
        <w:t>的引进</w:t>
      </w:r>
      <w:r w:rsidRPr="00771AF9">
        <w:rPr>
          <w:rFonts w:hint="eastAsia"/>
          <w:sz w:val="24"/>
          <w:szCs w:val="24"/>
        </w:rPr>
        <w:t>方式</w:t>
      </w:r>
    </w:p>
    <w:p w:rsidR="005F1384" w:rsidRPr="005F1384" w:rsidRDefault="005F1384" w:rsidP="005F1384">
      <w:pPr>
        <w:autoSpaceDE w:val="0"/>
        <w:autoSpaceDN w:val="0"/>
        <w:adjustRightInd w:val="0"/>
        <w:snapToGrid w:val="0"/>
        <w:spacing w:line="360" w:lineRule="auto"/>
        <w:ind w:firstLineChars="200" w:firstLine="420"/>
        <w:rPr>
          <w:rFonts w:ascii="楷体_GB2312" w:eastAsia="楷体_GB2312" w:hAnsi="Calibri" w:cs="Times New Roman"/>
          <w:szCs w:val="21"/>
        </w:rPr>
      </w:pPr>
      <w:r w:rsidRPr="005F1384">
        <w:rPr>
          <w:rFonts w:ascii="楷体_GB2312" w:eastAsia="楷体_GB2312" w:hAnsi="Calibri" w:cs="Times New Roman" w:hint="eastAsia"/>
          <w:szCs w:val="21"/>
        </w:rPr>
        <w:t>在</w:t>
      </w:r>
      <w:r>
        <w:rPr>
          <w:rFonts w:ascii="楷体_GB2312" w:eastAsia="楷体_GB2312" w:hAnsi="Calibri" w:cs="Times New Roman" w:hint="eastAsia"/>
          <w:szCs w:val="21"/>
        </w:rPr>
        <w:t>目前国内引进的</w:t>
      </w:r>
      <w:r w:rsidRPr="005F1384">
        <w:rPr>
          <w:rFonts w:ascii="楷体_GB2312" w:eastAsia="楷体_GB2312" w:hAnsi="Calibri" w:cs="Times New Roman" w:hint="eastAsia"/>
          <w:szCs w:val="21"/>
        </w:rPr>
        <w:t>众多</w:t>
      </w:r>
      <w:r>
        <w:rPr>
          <w:rFonts w:ascii="楷体_GB2312" w:eastAsia="楷体_GB2312" w:hAnsi="Calibri" w:cs="Times New Roman" w:hint="eastAsia"/>
          <w:szCs w:val="21"/>
        </w:rPr>
        <w:t>电子图书产品中，各商家提供的销售模式不尽相同，</w:t>
      </w:r>
      <w:r w:rsidR="00981B5D">
        <w:rPr>
          <w:rFonts w:ascii="楷体_GB2312" w:eastAsia="楷体_GB2312" w:hAnsi="Calibri" w:cs="Times New Roman" w:hint="eastAsia"/>
          <w:szCs w:val="21"/>
        </w:rPr>
        <w:t>各高校的引进方式更可谓是五花八门，</w:t>
      </w:r>
      <w:r w:rsidR="000B13E3">
        <w:rPr>
          <w:rFonts w:ascii="楷体_GB2312" w:eastAsia="楷体_GB2312" w:hAnsi="Calibri" w:cs="Times New Roman" w:hint="eastAsia"/>
          <w:szCs w:val="21"/>
        </w:rPr>
        <w:t>主要涉及以下几个方面的选择。</w:t>
      </w:r>
    </w:p>
    <w:p w:rsidR="00654509" w:rsidRDefault="00FB39C8" w:rsidP="000B13E3">
      <w:pPr>
        <w:autoSpaceDE w:val="0"/>
        <w:autoSpaceDN w:val="0"/>
        <w:adjustRightInd w:val="0"/>
        <w:snapToGrid w:val="0"/>
        <w:spacing w:line="360" w:lineRule="auto"/>
        <w:ind w:firstLineChars="200" w:firstLine="420"/>
        <w:rPr>
          <w:rFonts w:ascii="楷体_GB2312" w:eastAsia="楷体_GB2312" w:hAnsi="Calibri" w:cs="Times New Roman"/>
          <w:szCs w:val="21"/>
        </w:rPr>
      </w:pPr>
      <w:r w:rsidRPr="007251F2">
        <w:rPr>
          <w:rFonts w:ascii="楷体_GB2312" w:eastAsia="楷体_GB2312" w:hAnsi="Calibri" w:cs="Times New Roman" w:hint="eastAsia"/>
          <w:szCs w:val="21"/>
        </w:rPr>
        <w:t>首先是选择引进学科包模式还是单书挑选</w:t>
      </w:r>
      <w:r w:rsidR="00DE24AE">
        <w:rPr>
          <w:rFonts w:ascii="楷体_GB2312" w:eastAsia="楷体_GB2312" w:hAnsi="Calibri" w:cs="Times New Roman" w:hint="eastAsia"/>
          <w:szCs w:val="21"/>
        </w:rPr>
        <w:t>模式。在各高校开始引进电子图书的初期</w:t>
      </w:r>
      <w:r w:rsidR="00CB1431">
        <w:rPr>
          <w:rFonts w:ascii="楷体_GB2312" w:eastAsia="楷体_GB2312" w:hAnsi="Calibri" w:cs="Times New Roman" w:hint="eastAsia"/>
          <w:szCs w:val="21"/>
        </w:rPr>
        <w:t>，基本</w:t>
      </w:r>
      <w:r w:rsidR="00287969">
        <w:rPr>
          <w:rFonts w:ascii="楷体_GB2312" w:eastAsia="楷体_GB2312" w:hAnsi="Calibri" w:cs="Times New Roman" w:hint="eastAsia"/>
          <w:szCs w:val="21"/>
        </w:rPr>
        <w:t>上都是采用学科包订购模式，商家多是根据自己的标准进行学科划分，简单地将各自</w:t>
      </w:r>
      <w:r w:rsidR="005911DB">
        <w:rPr>
          <w:rFonts w:ascii="楷体_GB2312" w:eastAsia="楷体_GB2312" w:hAnsi="Calibri" w:cs="Times New Roman" w:hint="eastAsia"/>
          <w:szCs w:val="21"/>
        </w:rPr>
        <w:t>电子图书产品划分为若干学科包（或称子库），销售时可以提供全学科（包库）或分学科（子库）</w:t>
      </w:r>
      <w:r w:rsidR="00C06B73">
        <w:rPr>
          <w:rFonts w:ascii="楷体_GB2312" w:eastAsia="楷体_GB2312" w:hAnsi="Calibri" w:cs="Times New Roman" w:hint="eastAsia"/>
          <w:szCs w:val="21"/>
        </w:rPr>
        <w:t>不同的模式。这种学科包销售模式的特点是操作简单，单本书的平均价格也相对便宜；但是</w:t>
      </w:r>
      <w:r w:rsidR="00CA7631">
        <w:rPr>
          <w:rFonts w:ascii="楷体_GB2312" w:eastAsia="楷体_GB2312" w:hAnsi="Calibri" w:cs="Times New Roman" w:hint="eastAsia"/>
          <w:szCs w:val="21"/>
        </w:rPr>
        <w:t>对于用户而言，即使是引进</w:t>
      </w:r>
      <w:r w:rsidR="008464B0">
        <w:rPr>
          <w:rFonts w:ascii="楷体_GB2312" w:eastAsia="楷体_GB2312" w:hAnsi="Calibri" w:cs="Times New Roman" w:hint="eastAsia"/>
          <w:szCs w:val="21"/>
        </w:rPr>
        <w:t>的</w:t>
      </w:r>
      <w:r w:rsidR="00CA7631">
        <w:rPr>
          <w:rFonts w:ascii="楷体_GB2312" w:eastAsia="楷体_GB2312" w:hAnsi="Calibri" w:cs="Times New Roman" w:hint="eastAsia"/>
          <w:szCs w:val="21"/>
        </w:rPr>
        <w:t>学科包</w:t>
      </w:r>
      <w:r w:rsidR="008464B0">
        <w:rPr>
          <w:rFonts w:ascii="楷体_GB2312" w:eastAsia="楷体_GB2312" w:hAnsi="Calibri" w:cs="Times New Roman" w:hint="eastAsia"/>
          <w:szCs w:val="21"/>
        </w:rPr>
        <w:t>名称上听上去适合</w:t>
      </w:r>
      <w:r w:rsidR="00045743">
        <w:rPr>
          <w:rFonts w:ascii="楷体_GB2312" w:eastAsia="楷体_GB2312" w:hAnsi="Calibri" w:cs="Times New Roman" w:hint="eastAsia"/>
          <w:szCs w:val="21"/>
        </w:rPr>
        <w:t>本</w:t>
      </w:r>
      <w:r w:rsidR="008464B0">
        <w:rPr>
          <w:rFonts w:ascii="楷体_GB2312" w:eastAsia="楷体_GB2312" w:hAnsi="Calibri" w:cs="Times New Roman" w:hint="eastAsia"/>
          <w:szCs w:val="21"/>
        </w:rPr>
        <w:t>专业，但</w:t>
      </w:r>
      <w:r w:rsidR="00045743">
        <w:rPr>
          <w:rFonts w:ascii="楷体_GB2312" w:eastAsia="楷体_GB2312" w:hAnsi="Calibri" w:cs="Times New Roman" w:hint="eastAsia"/>
          <w:szCs w:val="21"/>
        </w:rPr>
        <w:t>不能保障</w:t>
      </w:r>
      <w:r w:rsidR="008464B0">
        <w:rPr>
          <w:rFonts w:ascii="楷体_GB2312" w:eastAsia="楷体_GB2312" w:hAnsi="Calibri" w:cs="Times New Roman" w:hint="eastAsia"/>
          <w:szCs w:val="21"/>
        </w:rPr>
        <w:t>到每一本书</w:t>
      </w:r>
      <w:r w:rsidR="00045743">
        <w:rPr>
          <w:rFonts w:ascii="楷体_GB2312" w:eastAsia="楷体_GB2312" w:hAnsi="Calibri" w:cs="Times New Roman" w:hint="eastAsia"/>
          <w:szCs w:val="21"/>
        </w:rPr>
        <w:t>能满足需求，因此使用效果存在着不确定性。随着电子图书</w:t>
      </w:r>
      <w:r w:rsidR="00556FB3">
        <w:rPr>
          <w:rFonts w:ascii="楷体_GB2312" w:eastAsia="楷体_GB2312" w:hAnsi="Calibri" w:cs="Times New Roman" w:hint="eastAsia"/>
          <w:szCs w:val="21"/>
        </w:rPr>
        <w:t>建设</w:t>
      </w:r>
      <w:r w:rsidR="00305628">
        <w:rPr>
          <w:rFonts w:ascii="楷体_GB2312" w:eastAsia="楷体_GB2312" w:hAnsi="Calibri" w:cs="Times New Roman" w:hint="eastAsia"/>
          <w:szCs w:val="21"/>
        </w:rPr>
        <w:t>工作</w:t>
      </w:r>
      <w:r w:rsidR="00556FB3">
        <w:rPr>
          <w:rFonts w:ascii="楷体_GB2312" w:eastAsia="楷体_GB2312" w:hAnsi="Calibri" w:cs="Times New Roman" w:hint="eastAsia"/>
          <w:szCs w:val="21"/>
        </w:rPr>
        <w:t>的</w:t>
      </w:r>
      <w:r w:rsidR="00305628">
        <w:rPr>
          <w:rFonts w:ascii="楷体_GB2312" w:eastAsia="楷体_GB2312" w:hAnsi="Calibri" w:cs="Times New Roman" w:hint="eastAsia"/>
          <w:szCs w:val="21"/>
        </w:rPr>
        <w:t>深入开展，各高校</w:t>
      </w:r>
      <w:r w:rsidR="00556FB3">
        <w:rPr>
          <w:rFonts w:ascii="楷体_GB2312" w:eastAsia="楷体_GB2312" w:hAnsi="Calibri" w:cs="Times New Roman" w:hint="eastAsia"/>
          <w:szCs w:val="21"/>
        </w:rPr>
        <w:t>对引进电子图书的要求越来越高</w:t>
      </w:r>
      <w:r w:rsidR="00033409">
        <w:rPr>
          <w:rFonts w:ascii="楷体_GB2312" w:eastAsia="楷体_GB2312" w:hAnsi="Calibri" w:cs="Times New Roman" w:hint="eastAsia"/>
          <w:szCs w:val="21"/>
        </w:rPr>
        <w:t>，为满足用户的需求，商家在销售模式上也开始逐渐打破原固有的</w:t>
      </w:r>
      <w:r w:rsidR="00033409">
        <w:rPr>
          <w:rFonts w:ascii="楷体_GB2312" w:eastAsia="楷体_GB2312" w:hAnsi="Calibri" w:cs="Times New Roman" w:hint="eastAsia"/>
          <w:szCs w:val="21"/>
        </w:rPr>
        <w:lastRenderedPageBreak/>
        <w:t>单一模式，提出了</w:t>
      </w:r>
      <w:r w:rsidR="00E0021B" w:rsidRPr="00E0021B">
        <w:rPr>
          <w:rFonts w:ascii="楷体_GB2312" w:eastAsia="楷体_GB2312" w:hAnsi="Calibri" w:cs="Times New Roman" w:hint="eastAsia"/>
          <w:szCs w:val="21"/>
        </w:rPr>
        <w:t>需求驱动采购（</w:t>
      </w:r>
      <w:r w:rsidR="00E0021B" w:rsidRPr="00E0021B">
        <w:rPr>
          <w:rFonts w:ascii="楷体_GB2312" w:eastAsia="楷体_GB2312" w:hAnsi="Calibri" w:cs="Times New Roman"/>
          <w:szCs w:val="21"/>
        </w:rPr>
        <w:t>Demand Driven Acquisitions</w:t>
      </w:r>
      <w:r w:rsidR="00E0021B" w:rsidRPr="00E0021B">
        <w:rPr>
          <w:rFonts w:ascii="楷体_GB2312" w:eastAsia="楷体_GB2312" w:hAnsi="Calibri" w:cs="Times New Roman" w:hint="eastAsia"/>
          <w:szCs w:val="21"/>
        </w:rPr>
        <w:t>，</w:t>
      </w:r>
      <w:r w:rsidR="00E0021B" w:rsidRPr="00E0021B">
        <w:rPr>
          <w:rFonts w:ascii="楷体_GB2312" w:eastAsia="楷体_GB2312" w:hAnsi="Calibri" w:cs="Times New Roman"/>
          <w:szCs w:val="21"/>
        </w:rPr>
        <w:t xml:space="preserve"> DDA</w:t>
      </w:r>
      <w:r w:rsidR="00E0021B" w:rsidRPr="00E0021B">
        <w:rPr>
          <w:rFonts w:ascii="楷体_GB2312" w:eastAsia="楷体_GB2312" w:hAnsi="Calibri" w:cs="Times New Roman" w:hint="eastAsia"/>
          <w:szCs w:val="21"/>
        </w:rPr>
        <w:t>）</w:t>
      </w:r>
      <w:r w:rsidR="00E0021B">
        <w:rPr>
          <w:rFonts w:ascii="楷体_GB2312" w:eastAsia="楷体_GB2312" w:hAnsi="Calibri" w:cs="Times New Roman" w:hint="eastAsia"/>
          <w:szCs w:val="21"/>
        </w:rPr>
        <w:t>或</w:t>
      </w:r>
      <w:r w:rsidR="00033409">
        <w:rPr>
          <w:rFonts w:ascii="楷体_GB2312" w:eastAsia="楷体_GB2312" w:hAnsi="Calibri" w:cs="Times New Roman" w:hint="eastAsia"/>
          <w:szCs w:val="21"/>
        </w:rPr>
        <w:t>用户驱动</w:t>
      </w:r>
      <w:r w:rsidR="00E0021B">
        <w:rPr>
          <w:rFonts w:ascii="楷体_GB2312" w:eastAsia="楷体_GB2312" w:hAnsi="Calibri" w:cs="Times New Roman" w:hint="eastAsia"/>
          <w:szCs w:val="21"/>
        </w:rPr>
        <w:t>采购</w:t>
      </w:r>
      <w:r w:rsidR="00033409">
        <w:rPr>
          <w:rFonts w:ascii="楷体_GB2312" w:eastAsia="楷体_GB2312" w:hAnsi="Calibri" w:cs="Times New Roman" w:hint="eastAsia"/>
          <w:szCs w:val="21"/>
        </w:rPr>
        <w:t>（</w:t>
      </w:r>
      <w:r w:rsidR="00B81E1C">
        <w:t>Patron-Driven Acquisition</w:t>
      </w:r>
      <w:r w:rsidR="00B81E1C">
        <w:rPr>
          <w:rFonts w:hint="eastAsia"/>
        </w:rPr>
        <w:t>，</w:t>
      </w:r>
      <w:r w:rsidR="00033409">
        <w:rPr>
          <w:rFonts w:ascii="楷体_GB2312" w:eastAsia="楷体_GB2312" w:hAnsi="Calibri" w:cs="Times New Roman" w:hint="eastAsia"/>
          <w:szCs w:val="21"/>
        </w:rPr>
        <w:t>PDA）</w:t>
      </w:r>
      <w:r w:rsidR="00E0021B">
        <w:rPr>
          <w:rFonts w:ascii="楷体_GB2312" w:eastAsia="楷体_GB2312" w:hAnsi="Calibri" w:cs="Times New Roman" w:hint="eastAsia"/>
          <w:szCs w:val="21"/>
        </w:rPr>
        <w:t>模式，使得电子图书在引进过程中能够得到最终用户的推荐与认可，从而进一步保障了引进图书的质量。</w:t>
      </w:r>
    </w:p>
    <w:p w:rsidR="00E0021B" w:rsidRPr="00E0021B" w:rsidRDefault="00342547" w:rsidP="000B13E3">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其次</w:t>
      </w:r>
      <w:r w:rsidR="00C45667">
        <w:rPr>
          <w:rFonts w:ascii="楷体_GB2312" w:eastAsia="楷体_GB2312" w:hAnsi="Calibri" w:cs="Times New Roman" w:hint="eastAsia"/>
          <w:szCs w:val="21"/>
        </w:rPr>
        <w:t>在选择电子图书时需要考虑的是</w:t>
      </w:r>
      <w:r w:rsidR="009B7C52">
        <w:rPr>
          <w:rFonts w:ascii="楷体_GB2312" w:eastAsia="楷体_GB2312" w:hAnsi="Calibri" w:cs="Times New Roman" w:hint="eastAsia"/>
          <w:szCs w:val="21"/>
        </w:rPr>
        <w:t>买断版权（或永久使用权）还是租用，这种差异主要存在于出版社和集成商两种不同来源的</w:t>
      </w:r>
      <w:r w:rsidR="002F7329">
        <w:rPr>
          <w:rFonts w:ascii="楷体_GB2312" w:eastAsia="楷体_GB2312" w:hAnsi="Calibri" w:cs="Times New Roman" w:hint="eastAsia"/>
          <w:szCs w:val="21"/>
        </w:rPr>
        <w:t>电子图书；两者相比较，买断版权的电子图书平均价格要比租用的电子图书相对较贵。对用户来说，选择买断版权</w:t>
      </w:r>
      <w:r w:rsidR="001C2BC4">
        <w:rPr>
          <w:rFonts w:ascii="楷体_GB2312" w:eastAsia="楷体_GB2312" w:hAnsi="Calibri" w:cs="Times New Roman" w:hint="eastAsia"/>
          <w:szCs w:val="21"/>
        </w:rPr>
        <w:t>模式</w:t>
      </w:r>
      <w:r w:rsidR="002F7329">
        <w:rPr>
          <w:rFonts w:ascii="楷体_GB2312" w:eastAsia="楷体_GB2312" w:hAnsi="Calibri" w:cs="Times New Roman" w:hint="eastAsia"/>
          <w:szCs w:val="21"/>
        </w:rPr>
        <w:t>还是租用</w:t>
      </w:r>
      <w:r w:rsidR="00D442FA">
        <w:rPr>
          <w:rFonts w:ascii="楷体_GB2312" w:eastAsia="楷体_GB2312" w:hAnsi="Calibri" w:cs="Times New Roman" w:hint="eastAsia"/>
          <w:szCs w:val="21"/>
        </w:rPr>
        <w:t>模式</w:t>
      </w:r>
      <w:r w:rsidR="001C2BC4">
        <w:rPr>
          <w:rFonts w:ascii="楷体_GB2312" w:eastAsia="楷体_GB2312" w:hAnsi="Calibri" w:cs="Times New Roman" w:hint="eastAsia"/>
          <w:szCs w:val="21"/>
        </w:rPr>
        <w:t>不能一概而定，必须与本校的实际需求以及图书馆馆藏建设目标相结合</w:t>
      </w:r>
      <w:r w:rsidR="00D442FA">
        <w:rPr>
          <w:rFonts w:ascii="楷体_GB2312" w:eastAsia="楷体_GB2312" w:hAnsi="Calibri" w:cs="Times New Roman" w:hint="eastAsia"/>
          <w:szCs w:val="21"/>
        </w:rPr>
        <w:t>。如果属于本校图书馆必须收藏范围内的电子图书就应该选择买断版权；反之若是本校用户有需求但图书馆还无法全面收藏的文献则可以考虑选择租用模式，这样可以利用有限的经费引进更多的资源，充分提高经费的利用效率。</w:t>
      </w:r>
    </w:p>
    <w:p w:rsidR="00F04CD2" w:rsidRDefault="009329EA" w:rsidP="003D331F">
      <w:pPr>
        <w:autoSpaceDE w:val="0"/>
        <w:autoSpaceDN w:val="0"/>
        <w:adjustRightInd w:val="0"/>
        <w:snapToGrid w:val="0"/>
        <w:spacing w:line="360" w:lineRule="auto"/>
        <w:ind w:firstLineChars="200" w:firstLine="420"/>
        <w:rPr>
          <w:rFonts w:ascii="楷体_GB2312" w:eastAsia="楷体_GB2312" w:hAnsi="Calibri" w:cs="Times New Roman"/>
          <w:szCs w:val="21"/>
        </w:rPr>
      </w:pPr>
      <w:r w:rsidRPr="009329EA">
        <w:rPr>
          <w:rFonts w:ascii="楷体_GB2312" w:eastAsia="楷体_GB2312" w:hAnsi="Calibri" w:cs="Times New Roman" w:hint="eastAsia"/>
          <w:szCs w:val="21"/>
        </w:rPr>
        <w:t>此外，在</w:t>
      </w:r>
      <w:r>
        <w:rPr>
          <w:rFonts w:ascii="楷体_GB2312" w:eastAsia="楷体_GB2312" w:hAnsi="Calibri" w:cs="Times New Roman" w:hint="eastAsia"/>
          <w:szCs w:val="21"/>
        </w:rPr>
        <w:t>引进电子图书</w:t>
      </w:r>
      <w:r w:rsidR="003F0F8E">
        <w:rPr>
          <w:rFonts w:ascii="楷体_GB2312" w:eastAsia="楷体_GB2312" w:hAnsi="Calibri" w:cs="Times New Roman" w:hint="eastAsia"/>
          <w:szCs w:val="21"/>
        </w:rPr>
        <w:t>安装使用方式上</w:t>
      </w:r>
      <w:r>
        <w:rPr>
          <w:rFonts w:ascii="楷体_GB2312" w:eastAsia="楷体_GB2312" w:hAnsi="Calibri" w:cs="Times New Roman" w:hint="eastAsia"/>
          <w:szCs w:val="21"/>
        </w:rPr>
        <w:t>还可以选择是在</w:t>
      </w:r>
      <w:r w:rsidR="00C23869" w:rsidRPr="009329EA">
        <w:rPr>
          <w:rFonts w:ascii="楷体_GB2312" w:eastAsia="楷体_GB2312" w:hAnsi="Calibri" w:cs="Times New Roman" w:hint="eastAsia"/>
          <w:szCs w:val="21"/>
        </w:rPr>
        <w:t>本地</w:t>
      </w:r>
      <w:r>
        <w:rPr>
          <w:rFonts w:ascii="楷体_GB2312" w:eastAsia="楷体_GB2312" w:hAnsi="Calibri" w:cs="Times New Roman" w:hint="eastAsia"/>
          <w:szCs w:val="21"/>
        </w:rPr>
        <w:t>安装</w:t>
      </w:r>
      <w:r w:rsidR="00C23869" w:rsidRPr="009329EA">
        <w:rPr>
          <w:rFonts w:ascii="楷体_GB2312" w:eastAsia="楷体_GB2312" w:hAnsi="Calibri" w:cs="Times New Roman" w:hint="eastAsia"/>
          <w:szCs w:val="21"/>
        </w:rPr>
        <w:t>镜像</w:t>
      </w:r>
      <w:r w:rsidR="003F0F8E">
        <w:rPr>
          <w:rFonts w:ascii="楷体_GB2312" w:eastAsia="楷体_GB2312" w:hAnsi="Calibri" w:cs="Times New Roman" w:hint="eastAsia"/>
          <w:szCs w:val="21"/>
        </w:rPr>
        <w:t>站点</w:t>
      </w:r>
      <w:r w:rsidR="00C23869" w:rsidRPr="009329EA">
        <w:rPr>
          <w:rFonts w:ascii="楷体_GB2312" w:eastAsia="楷体_GB2312" w:hAnsi="Calibri" w:cs="Times New Roman" w:hint="eastAsia"/>
          <w:szCs w:val="21"/>
        </w:rPr>
        <w:t>或</w:t>
      </w:r>
      <w:r w:rsidR="00015614">
        <w:rPr>
          <w:rFonts w:ascii="楷体_GB2312" w:eastAsia="楷体_GB2312" w:hAnsi="Calibri" w:cs="Times New Roman" w:hint="eastAsia"/>
          <w:szCs w:val="21"/>
        </w:rPr>
        <w:t>者</w:t>
      </w:r>
      <w:r w:rsidR="003F0F8E">
        <w:rPr>
          <w:rFonts w:ascii="楷体_GB2312" w:eastAsia="楷体_GB2312" w:hAnsi="Calibri" w:cs="Times New Roman" w:hint="eastAsia"/>
          <w:szCs w:val="21"/>
        </w:rPr>
        <w:t>直接</w:t>
      </w:r>
      <w:r w:rsidR="00C23869" w:rsidRPr="009329EA">
        <w:rPr>
          <w:rFonts w:ascii="楷体_GB2312" w:eastAsia="楷体_GB2312" w:hAnsi="Calibri" w:cs="Times New Roman" w:hint="eastAsia"/>
          <w:szCs w:val="21"/>
        </w:rPr>
        <w:t>网络使用</w:t>
      </w:r>
      <w:r w:rsidR="00015614">
        <w:rPr>
          <w:rFonts w:ascii="楷体_GB2312" w:eastAsia="楷体_GB2312" w:hAnsi="Calibri" w:cs="Times New Roman" w:hint="eastAsia"/>
          <w:szCs w:val="21"/>
        </w:rPr>
        <w:t>。</w:t>
      </w:r>
      <w:r w:rsidR="00665A38">
        <w:rPr>
          <w:rFonts w:ascii="楷体_GB2312" w:eastAsia="楷体_GB2312" w:hAnsi="Calibri" w:cs="Times New Roman" w:hint="eastAsia"/>
          <w:szCs w:val="21"/>
        </w:rPr>
        <w:t>这两种引进模式的差异体现不是在于用户的感觉，而是在于引进学校（或图书馆）对引进资源的存储以及所有权的理解与认知。有的学校出于保险起见，认为自己购买的电子资源只有装在本地的服务器上才能算是真正的拥有，而自己学校在硬件上也能够提供相应的技术支持</w:t>
      </w:r>
      <w:r w:rsidR="003D331F">
        <w:rPr>
          <w:rFonts w:ascii="楷体_GB2312" w:eastAsia="楷体_GB2312" w:hAnsi="Calibri" w:cs="Times New Roman" w:hint="eastAsia"/>
          <w:szCs w:val="21"/>
        </w:rPr>
        <w:t>，则在引进电子图书时可以考虑选择在本地安装镜像站点的模式。一般来说，选择在本地安装镜像站点的引进模式所需费用可能要略高于直接网络使用模式。</w:t>
      </w:r>
    </w:p>
    <w:p w:rsidR="00B96090" w:rsidRPr="00B96090" w:rsidRDefault="00B96090" w:rsidP="00B96090">
      <w:pPr>
        <w:pStyle w:val="1"/>
        <w:adjustRightInd w:val="0"/>
        <w:snapToGrid w:val="0"/>
        <w:spacing w:before="0" w:after="0" w:line="360" w:lineRule="auto"/>
      </w:pPr>
      <w:r w:rsidRPr="00B96090">
        <w:rPr>
          <w:rFonts w:hint="eastAsia"/>
        </w:rPr>
        <w:t>3.</w:t>
      </w:r>
      <w:r w:rsidRPr="00B96090">
        <w:rPr>
          <w:rFonts w:hint="eastAsia"/>
        </w:rPr>
        <w:t>农业高校联盟引进原版电子图书</w:t>
      </w:r>
      <w:r w:rsidRPr="00B96090">
        <w:rPr>
          <w:rFonts w:hint="eastAsia"/>
        </w:rPr>
        <w:t>/</w:t>
      </w:r>
      <w:r w:rsidRPr="00B96090">
        <w:rPr>
          <w:rFonts w:hint="eastAsia"/>
        </w:rPr>
        <w:t>教材工作案例分析</w:t>
      </w:r>
    </w:p>
    <w:p w:rsidR="0078124C" w:rsidRDefault="006C5BE9" w:rsidP="007C0FBD">
      <w:pPr>
        <w:autoSpaceDE w:val="0"/>
        <w:autoSpaceDN w:val="0"/>
        <w:adjustRightInd w:val="0"/>
        <w:snapToGrid w:val="0"/>
        <w:spacing w:line="360" w:lineRule="auto"/>
        <w:ind w:firstLineChars="200" w:firstLine="420"/>
        <w:rPr>
          <w:rFonts w:ascii="楷体_GB2312" w:eastAsia="楷体_GB2312" w:hAnsi="Calibri" w:cs="Times New Roman"/>
          <w:color w:val="000000"/>
          <w:szCs w:val="21"/>
        </w:rPr>
      </w:pPr>
      <w:r>
        <w:rPr>
          <w:rFonts w:ascii="楷体_GB2312" w:eastAsia="楷体_GB2312" w:hAnsi="Calibri" w:cs="Times New Roman" w:hint="eastAsia"/>
          <w:szCs w:val="21"/>
        </w:rPr>
        <w:t>我国是作为一个农业大国</w:t>
      </w:r>
      <w:r w:rsidR="0078124C">
        <w:rPr>
          <w:rFonts w:ascii="楷体_GB2312" w:eastAsia="楷体_GB2312" w:hAnsi="Calibri" w:cs="Times New Roman" w:hint="eastAsia"/>
          <w:szCs w:val="21"/>
        </w:rPr>
        <w:t>，农业科学研究的发</w:t>
      </w:r>
      <w:r w:rsidR="00BE4284">
        <w:rPr>
          <w:rFonts w:ascii="楷体_GB2312" w:eastAsia="楷体_GB2312" w:hAnsi="Calibri" w:cs="Times New Roman" w:hint="eastAsia"/>
          <w:szCs w:val="21"/>
        </w:rPr>
        <w:t>展</w:t>
      </w:r>
      <w:r>
        <w:rPr>
          <w:rFonts w:ascii="楷体_GB2312" w:eastAsia="楷体_GB2312" w:hAnsi="Calibri" w:cs="Times New Roman" w:hint="eastAsia"/>
          <w:szCs w:val="21"/>
        </w:rPr>
        <w:t>水平却落后于欧美发达国家，</w:t>
      </w:r>
      <w:r w:rsidR="0078124C">
        <w:rPr>
          <w:rFonts w:ascii="楷体_GB2312" w:eastAsia="楷体_GB2312" w:hAnsi="Calibri" w:cs="Times New Roman" w:hint="eastAsia"/>
          <w:szCs w:val="21"/>
        </w:rPr>
        <w:t>积极开展深层次的调研工作，科学而正确地</w:t>
      </w:r>
      <w:r w:rsidRPr="007372CE">
        <w:rPr>
          <w:rFonts w:ascii="楷体_GB2312" w:eastAsia="楷体_GB2312" w:hAnsi="Calibri" w:cs="Times New Roman" w:hint="eastAsia"/>
          <w:color w:val="000000"/>
          <w:szCs w:val="21"/>
        </w:rPr>
        <w:t>引进原版</w:t>
      </w:r>
      <w:r w:rsidR="0078124C">
        <w:rPr>
          <w:rFonts w:ascii="楷体_GB2312" w:eastAsia="楷体_GB2312" w:hAnsi="Calibri" w:cs="Times New Roman" w:hint="eastAsia"/>
          <w:color w:val="000000"/>
          <w:szCs w:val="21"/>
        </w:rPr>
        <w:t>电子图书/</w:t>
      </w:r>
      <w:r w:rsidRPr="007372CE">
        <w:rPr>
          <w:rFonts w:ascii="楷体_GB2312" w:eastAsia="楷体_GB2312" w:hAnsi="Calibri" w:cs="Times New Roman" w:hint="eastAsia"/>
          <w:color w:val="000000"/>
          <w:szCs w:val="21"/>
        </w:rPr>
        <w:t>教材，借鉴发达国家的优质教学经验与教学资源是</w:t>
      </w:r>
      <w:r w:rsidR="0078124C">
        <w:rPr>
          <w:rFonts w:ascii="楷体_GB2312" w:eastAsia="楷体_GB2312" w:hAnsi="Calibri" w:cs="Times New Roman" w:hint="eastAsia"/>
          <w:color w:val="000000"/>
          <w:szCs w:val="21"/>
        </w:rPr>
        <w:t>农业高校建设与发展的基础保障</w:t>
      </w:r>
      <w:r w:rsidR="009A40A1">
        <w:rPr>
          <w:rFonts w:ascii="楷体_GB2312" w:eastAsia="楷体_GB2312" w:hAnsi="Calibri" w:cs="Times New Roman" w:hint="eastAsia"/>
          <w:color w:val="000000"/>
          <w:szCs w:val="21"/>
        </w:rPr>
        <w:t>。</w:t>
      </w:r>
      <w:r w:rsidR="009A40A1" w:rsidRPr="009B42C3">
        <w:rPr>
          <w:rFonts w:ascii="楷体_GB2312" w:eastAsia="楷体_GB2312" w:hAnsi="Calibri" w:cs="Times New Roman" w:hint="eastAsia"/>
          <w:color w:val="000000"/>
          <w:szCs w:val="21"/>
        </w:rPr>
        <w:t>教育部农科外国教材中心和</w:t>
      </w:r>
      <w:r w:rsidR="00A858F7" w:rsidRPr="009B42C3">
        <w:rPr>
          <w:rFonts w:ascii="楷体_GB2312" w:eastAsia="楷体_GB2312" w:hAnsi="Calibri" w:cs="Times New Roman" w:hint="eastAsia"/>
          <w:color w:val="000000"/>
          <w:szCs w:val="21"/>
        </w:rPr>
        <w:t>CALIS</w:t>
      </w:r>
      <w:r w:rsidR="009A40A1" w:rsidRPr="009B42C3">
        <w:rPr>
          <w:rFonts w:ascii="楷体_GB2312" w:eastAsia="楷体_GB2312" w:hAnsi="Calibri" w:cs="Times New Roman" w:hint="eastAsia"/>
          <w:color w:val="000000"/>
          <w:szCs w:val="21"/>
        </w:rPr>
        <w:t>全国农业文献信息中心都设在中国农业大学图书馆，两个中心的建设目标与任务各有侧重点</w:t>
      </w:r>
      <w:r w:rsidR="00A858F7" w:rsidRPr="009B42C3">
        <w:rPr>
          <w:rFonts w:ascii="楷体_GB2312" w:eastAsia="楷体_GB2312" w:hAnsi="Calibri" w:cs="Times New Roman" w:hint="eastAsia"/>
          <w:color w:val="000000"/>
          <w:szCs w:val="21"/>
        </w:rPr>
        <w:t>。外国教材中心的职责是紧密结合我国农业高等学校的具体工作，以及教育改革的实际，负责引进农科类的外国教材，形成以农业学科为特色的教材馆蒇体系，从而对我国农业科学类教材的建设、教学质量的提高起到推动作用。CALIS全国农业文献信息中心</w:t>
      </w:r>
      <w:r w:rsidR="009B42C3">
        <w:rPr>
          <w:rFonts w:ascii="楷体_GB2312" w:eastAsia="楷体_GB2312" w:hAnsi="Calibri" w:cs="Times New Roman" w:hint="eastAsia"/>
          <w:color w:val="000000"/>
          <w:szCs w:val="21"/>
        </w:rPr>
        <w:t>则</w:t>
      </w:r>
      <w:r w:rsidR="009B42C3" w:rsidRPr="009B42C3">
        <w:rPr>
          <w:rFonts w:ascii="楷体_GB2312" w:eastAsia="楷体_GB2312" w:hAnsi="Calibri" w:cs="Times New Roman" w:hint="eastAsia"/>
          <w:color w:val="000000"/>
          <w:szCs w:val="21"/>
        </w:rPr>
        <w:t>是在中国农业大学原有文献资源和网络条件的基础上，通过CALIS项目建设，使其成为拥有丰富的国内外农科文献信息资源，由农、林、水高校以及涉农高校图书馆共同参与的资源共建、共享与信息服务联盟。</w:t>
      </w:r>
      <w:r w:rsidR="005D7BC4">
        <w:rPr>
          <w:rFonts w:ascii="楷体_GB2312" w:eastAsia="楷体_GB2312" w:hAnsi="Calibri" w:cs="Times New Roman" w:hint="eastAsia"/>
          <w:color w:val="000000"/>
          <w:szCs w:val="21"/>
        </w:rPr>
        <w:t>在</w:t>
      </w:r>
      <w:r w:rsidR="00C161CA">
        <w:rPr>
          <w:rFonts w:ascii="楷体_GB2312" w:eastAsia="楷体_GB2312" w:hAnsi="Calibri" w:cs="Times New Roman" w:hint="eastAsia"/>
          <w:color w:val="000000"/>
          <w:szCs w:val="21"/>
        </w:rPr>
        <w:t>实际</w:t>
      </w:r>
      <w:r w:rsidR="0005024A">
        <w:rPr>
          <w:rFonts w:ascii="楷体_GB2312" w:eastAsia="楷体_GB2312" w:hAnsi="Calibri" w:cs="Times New Roman" w:hint="eastAsia"/>
          <w:color w:val="000000"/>
          <w:szCs w:val="21"/>
        </w:rPr>
        <w:t>的</w:t>
      </w:r>
      <w:r w:rsidR="001610C0">
        <w:rPr>
          <w:rFonts w:ascii="楷体_GB2312" w:eastAsia="楷体_GB2312" w:hAnsi="Calibri" w:cs="Times New Roman" w:hint="eastAsia"/>
          <w:color w:val="000000"/>
          <w:szCs w:val="21"/>
        </w:rPr>
        <w:t>工作中，</w:t>
      </w:r>
      <w:r w:rsidR="0005024A">
        <w:rPr>
          <w:rFonts w:ascii="楷体_GB2312" w:eastAsia="楷体_GB2312" w:hAnsi="Calibri" w:cs="Times New Roman" w:hint="eastAsia"/>
          <w:color w:val="000000"/>
          <w:szCs w:val="21"/>
        </w:rPr>
        <w:t>农业科学原版教材建设引进与全国农业科学文献资源共建共享建设，</w:t>
      </w:r>
      <w:r w:rsidR="00C161CA">
        <w:rPr>
          <w:rFonts w:ascii="楷体_GB2312" w:eastAsia="楷体_GB2312" w:hAnsi="Calibri" w:cs="Times New Roman" w:hint="eastAsia"/>
          <w:color w:val="000000"/>
          <w:szCs w:val="21"/>
        </w:rPr>
        <w:t>二者相辅相成</w:t>
      </w:r>
      <w:r w:rsidR="001610C0">
        <w:rPr>
          <w:rFonts w:ascii="楷体_GB2312" w:eastAsia="楷体_GB2312" w:hAnsi="Calibri" w:cs="Times New Roman" w:hint="eastAsia"/>
          <w:color w:val="000000"/>
          <w:szCs w:val="21"/>
        </w:rPr>
        <w:t>、密切关联</w:t>
      </w:r>
      <w:r w:rsidR="00C161CA">
        <w:rPr>
          <w:rFonts w:ascii="楷体_GB2312" w:eastAsia="楷体_GB2312" w:hAnsi="Calibri" w:cs="Times New Roman" w:hint="eastAsia"/>
          <w:color w:val="000000"/>
          <w:szCs w:val="21"/>
        </w:rPr>
        <w:t>。</w:t>
      </w:r>
      <w:r w:rsidR="0005024A">
        <w:rPr>
          <w:rFonts w:ascii="楷体_GB2312" w:eastAsia="楷体_GB2312" w:hAnsi="Calibri" w:cs="Times New Roman" w:hint="eastAsia"/>
          <w:color w:val="000000"/>
          <w:szCs w:val="21"/>
        </w:rPr>
        <w:t>其中</w:t>
      </w:r>
      <w:r w:rsidR="001610C0">
        <w:rPr>
          <w:rFonts w:ascii="楷体_GB2312" w:eastAsia="楷体_GB2312" w:hAnsi="Calibri" w:cs="Times New Roman" w:hint="eastAsia"/>
          <w:color w:val="000000"/>
          <w:szCs w:val="21"/>
        </w:rPr>
        <w:t>，外教中心引进CABI电子图书与涉农高校联盟引进CABI电子图书是两个中心在充分发挥各自优势的同时</w:t>
      </w:r>
      <w:r w:rsidR="00B92B0C">
        <w:rPr>
          <w:rFonts w:ascii="楷体_GB2312" w:eastAsia="楷体_GB2312" w:hAnsi="Calibri" w:cs="Times New Roman" w:hint="eastAsia"/>
          <w:color w:val="000000"/>
          <w:szCs w:val="21"/>
        </w:rPr>
        <w:t>加强联合，从而取得了非常好的使用效果。</w:t>
      </w:r>
      <w:r w:rsidR="003F094D">
        <w:rPr>
          <w:rFonts w:ascii="楷体_GB2312" w:eastAsia="楷体_GB2312" w:hAnsi="Calibri" w:cs="Times New Roman" w:hint="eastAsia"/>
          <w:color w:val="000000"/>
          <w:szCs w:val="21"/>
        </w:rPr>
        <w:t>下面就针对此案例进行效果分析。</w:t>
      </w:r>
    </w:p>
    <w:p w:rsidR="006C5BE9" w:rsidRPr="00357057" w:rsidRDefault="00357057" w:rsidP="00357057">
      <w:pPr>
        <w:pStyle w:val="2"/>
        <w:adjustRightInd w:val="0"/>
        <w:snapToGrid w:val="0"/>
        <w:spacing w:before="0" w:after="0" w:line="360" w:lineRule="auto"/>
      </w:pPr>
      <w:r w:rsidRPr="00357057">
        <w:rPr>
          <w:rFonts w:hint="eastAsia"/>
        </w:rPr>
        <w:lastRenderedPageBreak/>
        <w:t xml:space="preserve">3.1 </w:t>
      </w:r>
      <w:r w:rsidR="006C5BE9" w:rsidRPr="00357057">
        <w:rPr>
          <w:rFonts w:hint="eastAsia"/>
        </w:rPr>
        <w:t>外教中心引进</w:t>
      </w:r>
      <w:r w:rsidRPr="00357057">
        <w:rPr>
          <w:rFonts w:hint="eastAsia"/>
        </w:rPr>
        <w:t>CABI</w:t>
      </w:r>
      <w:r w:rsidR="006C5BE9" w:rsidRPr="00357057">
        <w:rPr>
          <w:rFonts w:hint="eastAsia"/>
        </w:rPr>
        <w:t>电子图书分析</w:t>
      </w:r>
    </w:p>
    <w:p w:rsidR="003D2FC0" w:rsidRDefault="009545A3" w:rsidP="00DE0C23">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外国教材</w:t>
      </w:r>
      <w:r w:rsidR="00CA1111">
        <w:rPr>
          <w:rFonts w:ascii="楷体_GB2312" w:eastAsia="楷体_GB2312" w:hAnsi="Calibri" w:cs="Times New Roman" w:hint="eastAsia"/>
          <w:szCs w:val="21"/>
        </w:rPr>
        <w:t>中心</w:t>
      </w:r>
      <w:r w:rsidR="009E1787">
        <w:rPr>
          <w:rFonts w:ascii="楷体_GB2312" w:eastAsia="楷体_GB2312" w:hAnsi="Calibri" w:cs="Times New Roman" w:hint="eastAsia"/>
          <w:szCs w:val="21"/>
        </w:rPr>
        <w:t>的职责</w:t>
      </w:r>
      <w:r w:rsidR="00DE0C23">
        <w:rPr>
          <w:rFonts w:ascii="楷体_GB2312" w:eastAsia="楷体_GB2312" w:hAnsi="Calibri" w:cs="Times New Roman" w:hint="eastAsia"/>
          <w:szCs w:val="21"/>
        </w:rPr>
        <w:t>是</w:t>
      </w:r>
      <w:r w:rsidR="00DE0C23" w:rsidRPr="00DE0C23">
        <w:rPr>
          <w:rFonts w:ascii="楷体_GB2312" w:eastAsia="楷体_GB2312" w:hAnsi="Calibri" w:cs="Times New Roman" w:hint="eastAsia"/>
          <w:szCs w:val="21"/>
        </w:rPr>
        <w:t>引进世界各国具有先进科学技术水平的理工农医各科教材，既要注意引进各种通用的、基本的教材，又要注意引进具有一定特色的、有独到见解的教材，并在全国范围内积累起理工农医各科的各类专业的全面、系统、配套的外国教材体系，以推动我国的教学改革和教材建设工作，充分发挥为教学与科研服务的作用。</w:t>
      </w:r>
      <w:r>
        <w:rPr>
          <w:rFonts w:ascii="楷体_GB2312" w:eastAsia="楷体_GB2312" w:hAnsi="Calibri" w:cs="Times New Roman" w:hint="eastAsia"/>
          <w:szCs w:val="21"/>
        </w:rPr>
        <w:t>外国教材中心</w:t>
      </w:r>
      <w:r w:rsidR="007022D2">
        <w:rPr>
          <w:rFonts w:ascii="楷体_GB2312" w:eastAsia="楷体_GB2312" w:hAnsi="Calibri" w:cs="Times New Roman" w:hint="eastAsia"/>
          <w:szCs w:val="21"/>
        </w:rPr>
        <w:t>成立近30年来，主要是引进并收藏印刷版的原版教材</w:t>
      </w:r>
      <w:r w:rsidR="003D2FC0">
        <w:rPr>
          <w:rFonts w:ascii="楷体_GB2312" w:eastAsia="楷体_GB2312" w:hAnsi="Calibri" w:cs="Times New Roman" w:hint="eastAsia"/>
          <w:szCs w:val="21"/>
        </w:rPr>
        <w:t>；而</w:t>
      </w:r>
      <w:r w:rsidR="007022D2">
        <w:rPr>
          <w:rFonts w:ascii="楷体_GB2312" w:eastAsia="楷体_GB2312" w:hAnsi="Calibri" w:cs="Times New Roman" w:hint="eastAsia"/>
          <w:szCs w:val="21"/>
        </w:rPr>
        <w:t>近年来</w:t>
      </w:r>
      <w:r w:rsidR="002740E4">
        <w:rPr>
          <w:rFonts w:ascii="楷体_GB2312" w:eastAsia="楷体_GB2312" w:hAnsi="Calibri" w:cs="Times New Roman" w:hint="eastAsia"/>
          <w:szCs w:val="21"/>
        </w:rPr>
        <w:t>随着电子图书的兴起与发展，用户对原版电子图书的需求也越来越强烈</w:t>
      </w:r>
      <w:r w:rsidR="003D2FC0">
        <w:rPr>
          <w:rFonts w:ascii="楷体_GB2312" w:eastAsia="楷体_GB2312" w:hAnsi="Calibri" w:cs="Times New Roman" w:hint="eastAsia"/>
          <w:szCs w:val="21"/>
        </w:rPr>
        <w:t>。</w:t>
      </w:r>
    </w:p>
    <w:p w:rsidR="00030273" w:rsidRDefault="002740E4" w:rsidP="00DE0C23">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从2014年开始，外国教材中心在原有引进印刷版教材的基础上开始了原版电子图书的引进工作</w:t>
      </w:r>
      <w:r w:rsidR="003D2FC0">
        <w:rPr>
          <w:rFonts w:ascii="楷体_GB2312" w:eastAsia="楷体_GB2312" w:hAnsi="Calibri" w:cs="Times New Roman" w:hint="eastAsia"/>
          <w:szCs w:val="21"/>
        </w:rPr>
        <w:t>。经过深入的调研与比较分析，最终结合经费条件，农科外国教材中心选择引进了CABI（</w:t>
      </w:r>
      <w:r w:rsidR="003D2FC0" w:rsidRPr="00943056">
        <w:rPr>
          <w:rFonts w:ascii="楷体_GB2312" w:eastAsia="楷体_GB2312" w:hAnsi="Calibri" w:cs="Times New Roman"/>
          <w:szCs w:val="21"/>
        </w:rPr>
        <w:t>国际应用生物科学中心</w:t>
      </w:r>
      <w:r w:rsidR="003D2FC0">
        <w:rPr>
          <w:rFonts w:ascii="楷体_GB2312" w:eastAsia="楷体_GB2312" w:hAnsi="Calibri" w:cs="Times New Roman" w:hint="eastAsia"/>
          <w:szCs w:val="21"/>
        </w:rPr>
        <w:t>）</w:t>
      </w:r>
      <w:r w:rsidR="00AB76D8">
        <w:rPr>
          <w:rFonts w:ascii="楷体_GB2312" w:eastAsia="楷体_GB2312" w:hAnsi="Calibri" w:cs="Times New Roman" w:hint="eastAsia"/>
          <w:szCs w:val="21"/>
        </w:rPr>
        <w:t>出版社</w:t>
      </w:r>
      <w:r w:rsidR="003D2FC0">
        <w:rPr>
          <w:rFonts w:ascii="楷体_GB2312" w:eastAsia="楷体_GB2312" w:hAnsi="Calibri" w:cs="Times New Roman" w:hint="eastAsia"/>
          <w:szCs w:val="21"/>
        </w:rPr>
        <w:t>于2011年-2013年间出版的138</w:t>
      </w:r>
      <w:r w:rsidR="00A4418A">
        <w:rPr>
          <w:rFonts w:ascii="楷体_GB2312" w:eastAsia="楷体_GB2312" w:hAnsi="Calibri" w:cs="Times New Roman" w:hint="eastAsia"/>
          <w:szCs w:val="21"/>
        </w:rPr>
        <w:t>种电子图书，使用范围是全国12家外国教材中心</w:t>
      </w:r>
      <w:r w:rsidR="00C83A72">
        <w:rPr>
          <w:rFonts w:ascii="楷体_GB2312" w:eastAsia="楷体_GB2312" w:hAnsi="Calibri" w:cs="Times New Roman" w:hint="eastAsia"/>
          <w:szCs w:val="21"/>
        </w:rPr>
        <w:t>所在的学校</w:t>
      </w:r>
      <w:r w:rsidR="00AB76D8">
        <w:rPr>
          <w:rFonts w:ascii="楷体_GB2312" w:eastAsia="楷体_GB2312" w:hAnsi="Calibri" w:cs="Times New Roman" w:hint="eastAsia"/>
          <w:szCs w:val="21"/>
        </w:rPr>
        <w:t>。</w:t>
      </w:r>
      <w:r w:rsidR="005F7E6C">
        <w:rPr>
          <w:rFonts w:ascii="楷体_GB2312" w:eastAsia="楷体_GB2312" w:hAnsi="Calibri" w:cs="Times New Roman" w:hint="eastAsia"/>
          <w:szCs w:val="21"/>
        </w:rPr>
        <w:t>引进这批电子图书一</w:t>
      </w:r>
      <w:r w:rsidR="00446933">
        <w:rPr>
          <w:rFonts w:ascii="楷体_GB2312" w:eastAsia="楷体_GB2312" w:hAnsi="Calibri" w:cs="Times New Roman" w:hint="eastAsia"/>
          <w:szCs w:val="21"/>
        </w:rPr>
        <w:t>年</w:t>
      </w:r>
      <w:r w:rsidR="005F7E6C">
        <w:rPr>
          <w:rFonts w:ascii="楷体_GB2312" w:eastAsia="楷体_GB2312" w:hAnsi="Calibri" w:cs="Times New Roman" w:hint="eastAsia"/>
          <w:szCs w:val="21"/>
        </w:rPr>
        <w:t>后，</w:t>
      </w:r>
      <w:r w:rsidR="00030273">
        <w:rPr>
          <w:rFonts w:ascii="楷体_GB2312" w:eastAsia="楷体_GB2312" w:hAnsi="Calibri" w:cs="Times New Roman" w:hint="eastAsia"/>
          <w:szCs w:val="21"/>
        </w:rPr>
        <w:t>对</w:t>
      </w:r>
      <w:r w:rsidR="005F7E6C">
        <w:rPr>
          <w:rFonts w:ascii="楷体_GB2312" w:eastAsia="楷体_GB2312" w:hAnsi="Calibri" w:cs="Times New Roman" w:hint="eastAsia"/>
          <w:szCs w:val="21"/>
        </w:rPr>
        <w:t>其总体</w:t>
      </w:r>
      <w:r w:rsidR="00030273">
        <w:rPr>
          <w:rFonts w:ascii="楷体_GB2312" w:eastAsia="楷体_GB2312" w:hAnsi="Calibri" w:cs="Times New Roman" w:hint="eastAsia"/>
          <w:szCs w:val="21"/>
        </w:rPr>
        <w:t>使用情况进行了</w:t>
      </w:r>
      <w:r w:rsidR="005F7E6C">
        <w:rPr>
          <w:rFonts w:ascii="楷体_GB2312" w:eastAsia="楷体_GB2312" w:hAnsi="Calibri" w:cs="Times New Roman" w:hint="eastAsia"/>
          <w:szCs w:val="21"/>
        </w:rPr>
        <w:t>相关</w:t>
      </w:r>
      <w:r w:rsidR="00030273">
        <w:rPr>
          <w:rFonts w:ascii="楷体_GB2312" w:eastAsia="楷体_GB2312" w:hAnsi="Calibri" w:cs="Times New Roman" w:hint="eastAsia"/>
          <w:szCs w:val="21"/>
        </w:rPr>
        <w:t>统计</w:t>
      </w:r>
      <w:r w:rsidR="00446933">
        <w:rPr>
          <w:rFonts w:ascii="楷体_GB2312" w:eastAsia="楷体_GB2312" w:hAnsi="Calibri" w:cs="Times New Roman" w:hint="eastAsia"/>
          <w:szCs w:val="21"/>
        </w:rPr>
        <w:t>。</w:t>
      </w:r>
    </w:p>
    <w:p w:rsidR="00357057" w:rsidRDefault="005F7E6C" w:rsidP="00446933">
      <w:pPr>
        <w:autoSpaceDE w:val="0"/>
        <w:autoSpaceDN w:val="0"/>
        <w:adjustRightInd w:val="0"/>
        <w:snapToGrid w:val="0"/>
        <w:spacing w:line="360" w:lineRule="auto"/>
        <w:rPr>
          <w:rFonts w:ascii="楷体_GB2312" w:eastAsia="楷体_GB2312" w:hAnsi="Calibri" w:cs="Times New Roman"/>
          <w:szCs w:val="21"/>
        </w:rPr>
      </w:pPr>
      <w:r w:rsidRPr="005F7E6C">
        <w:rPr>
          <w:rFonts w:ascii="楷体_GB2312" w:eastAsia="楷体_GB2312" w:hAnsi="Calibri" w:cs="Times New Roman"/>
          <w:noProof/>
          <w:szCs w:val="21"/>
        </w:rPr>
        <w:drawing>
          <wp:inline distT="0" distB="0" distL="0" distR="0">
            <wp:extent cx="5189054" cy="2878373"/>
            <wp:effectExtent l="19050" t="0" r="11596"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112D" w:rsidRDefault="00BD112D" w:rsidP="00446933">
      <w:pPr>
        <w:autoSpaceDE w:val="0"/>
        <w:autoSpaceDN w:val="0"/>
        <w:adjustRightInd w:val="0"/>
        <w:snapToGrid w:val="0"/>
        <w:spacing w:line="360" w:lineRule="auto"/>
        <w:jc w:val="center"/>
        <w:rPr>
          <w:rFonts w:ascii="楷体_GB2312" w:eastAsia="楷体_GB2312" w:hAnsi="Calibri" w:cs="Times New Roman"/>
          <w:szCs w:val="21"/>
        </w:rPr>
      </w:pPr>
    </w:p>
    <w:p w:rsidR="00357057" w:rsidRDefault="00446933" w:rsidP="00446933">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图7 外国教材中心CABI电子图书使用统计（2014年12月-2015年11月）</w:t>
      </w:r>
    </w:p>
    <w:p w:rsidR="00446933" w:rsidRDefault="00A1469A" w:rsidP="00A7743E">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CABI</w:t>
      </w:r>
      <w:r w:rsidR="00590116" w:rsidRPr="00590116">
        <w:rPr>
          <w:rFonts w:ascii="楷体_GB2312" w:eastAsia="楷体_GB2312" w:hAnsi="Calibri" w:cs="Times New Roman"/>
          <w:szCs w:val="21"/>
        </w:rPr>
        <w:t>的出版部是国际</w:t>
      </w:r>
      <w:r w:rsidR="00590116">
        <w:rPr>
          <w:rFonts w:ascii="楷体_GB2312" w:eastAsia="楷体_GB2312" w:hAnsi="Calibri" w:cs="Times New Roman" w:hint="eastAsia"/>
          <w:szCs w:val="21"/>
        </w:rPr>
        <w:t>著名</w:t>
      </w:r>
      <w:r w:rsidR="00590116" w:rsidRPr="00590116">
        <w:rPr>
          <w:rFonts w:ascii="楷体_GB2312" w:eastAsia="楷体_GB2312" w:hAnsi="Calibri" w:cs="Times New Roman"/>
          <w:szCs w:val="21"/>
        </w:rPr>
        <w:t>的应用生命科学出版社</w:t>
      </w:r>
      <w:r w:rsidR="00590116">
        <w:rPr>
          <w:rFonts w:ascii="楷体_GB2312" w:eastAsia="楷体_GB2312" w:hAnsi="Calibri" w:cs="Times New Roman" w:hint="eastAsia"/>
          <w:szCs w:val="21"/>
        </w:rPr>
        <w:t>，出版内容</w:t>
      </w:r>
      <w:r w:rsidR="00590116" w:rsidRPr="00590116">
        <w:rPr>
          <w:rFonts w:ascii="楷体_GB2312" w:eastAsia="楷体_GB2312" w:hAnsi="Calibri" w:cs="Times New Roman"/>
          <w:szCs w:val="21"/>
        </w:rPr>
        <w:t>涉及农业、林业、自然资源管理、社会经济学、兽医学，以及包括人类健康在内的其它相关学科</w:t>
      </w:r>
      <w:r w:rsidR="00590116">
        <w:rPr>
          <w:rFonts w:ascii="楷体_GB2312" w:eastAsia="楷体_GB2312" w:hAnsi="Calibri" w:cs="Times New Roman" w:hint="eastAsia"/>
          <w:szCs w:val="21"/>
        </w:rPr>
        <w:t>。外教中心</w:t>
      </w:r>
      <w:r w:rsidR="005E357D">
        <w:rPr>
          <w:rFonts w:ascii="楷体_GB2312" w:eastAsia="楷体_GB2312" w:hAnsi="Calibri" w:cs="Times New Roman" w:hint="eastAsia"/>
          <w:szCs w:val="21"/>
        </w:rPr>
        <w:t>在考量各种</w:t>
      </w:r>
      <w:r w:rsidR="00590116">
        <w:rPr>
          <w:rFonts w:ascii="楷体_GB2312" w:eastAsia="楷体_GB2312" w:hAnsi="Calibri" w:cs="Times New Roman" w:hint="eastAsia"/>
          <w:szCs w:val="21"/>
        </w:rPr>
        <w:t>农业类原版电子图书</w:t>
      </w:r>
      <w:r w:rsidR="005E357D">
        <w:rPr>
          <w:rFonts w:ascii="楷体_GB2312" w:eastAsia="楷体_GB2312" w:hAnsi="Calibri" w:cs="Times New Roman" w:hint="eastAsia"/>
          <w:szCs w:val="21"/>
        </w:rPr>
        <w:t>之后最终选择了CABI出版社的产品，选择初期</w:t>
      </w:r>
      <w:r w:rsidR="00254454">
        <w:rPr>
          <w:rFonts w:ascii="楷体_GB2312" w:eastAsia="楷体_GB2312" w:hAnsi="Calibri" w:cs="Times New Roman" w:hint="eastAsia"/>
          <w:szCs w:val="21"/>
        </w:rPr>
        <w:t>是针对农科类的教材建设，而一年的使用统计（图7）却显示出北京大学、武汉大学的使用量大大超过了中国农业大学，清华大学的使用量则与中国农业大学非常接近，其次是南京大学和东南大学。探究其原因，应是农业科学与生物科学虽然分属两大学科，但二者之间关系非常密切，可以说生物科学是农业科学发展的基础；而北京大学和武汉大学两个学校的生物科学都是其优势学科，所以CABI电子图书的使用量也相应很高。</w:t>
      </w:r>
      <w:r w:rsidR="00A7579B">
        <w:rPr>
          <w:rFonts w:ascii="楷体_GB2312" w:eastAsia="楷体_GB2312" w:hAnsi="Calibri" w:cs="Times New Roman" w:hint="eastAsia"/>
          <w:szCs w:val="21"/>
        </w:rPr>
        <w:t>而</w:t>
      </w:r>
      <w:r w:rsidR="00470256">
        <w:rPr>
          <w:rFonts w:ascii="楷体_GB2312" w:eastAsia="楷体_GB2312" w:hAnsi="Calibri" w:cs="Times New Roman" w:hint="eastAsia"/>
          <w:szCs w:val="21"/>
        </w:rPr>
        <w:t>其他学校，只要学科建设中有与农业、生物相关的学</w:t>
      </w:r>
      <w:r w:rsidR="00470256">
        <w:rPr>
          <w:rFonts w:ascii="楷体_GB2312" w:eastAsia="楷体_GB2312" w:hAnsi="Calibri" w:cs="Times New Roman" w:hint="eastAsia"/>
          <w:szCs w:val="21"/>
        </w:rPr>
        <w:lastRenderedPageBreak/>
        <w:t>科，则相应的CABI电子图书也有一定的使用量。</w:t>
      </w:r>
    </w:p>
    <w:p w:rsidR="00AB309B" w:rsidRPr="009A40A1" w:rsidRDefault="00A7743E" w:rsidP="00927528">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对各外教中心所在学校使用CABI电子图书的内容进行具体分析(附件4),则可以看到</w:t>
      </w:r>
      <w:r w:rsidR="00960D36">
        <w:rPr>
          <w:rFonts w:ascii="楷体_GB2312" w:eastAsia="楷体_GB2312" w:hAnsi="Calibri" w:cs="Times New Roman" w:hint="eastAsia"/>
          <w:szCs w:val="21"/>
        </w:rPr>
        <w:t>138种电子图书中有</w:t>
      </w:r>
      <w:r w:rsidR="006655C1">
        <w:rPr>
          <w:rFonts w:ascii="楷体_GB2312" w:eastAsia="楷体_GB2312" w:hAnsi="Calibri" w:cs="Times New Roman" w:hint="eastAsia"/>
          <w:szCs w:val="21"/>
        </w:rPr>
        <w:t>135种被点击阅读，阅读占比高达97.83%，其中阅读量最高的</w:t>
      </w:r>
      <w:r w:rsidR="00927528">
        <w:rPr>
          <w:rFonts w:ascii="楷体_GB2312" w:eastAsia="楷体_GB2312" w:hAnsi="Calibri" w:cs="Times New Roman" w:hint="eastAsia"/>
          <w:szCs w:val="21"/>
        </w:rPr>
        <w:t>前十种书分别是</w:t>
      </w:r>
      <w:r w:rsidR="00927528" w:rsidRPr="00927528">
        <w:rPr>
          <w:rFonts w:ascii="楷体_GB2312" w:eastAsia="楷体_GB2312" w:hAnsi="Calibri" w:cs="Times New Roman"/>
          <w:szCs w:val="21"/>
        </w:rPr>
        <w:t xml:space="preserve">African Seed Enterprises: </w:t>
      </w:r>
      <w:r w:rsidR="00B87C7A">
        <w:rPr>
          <w:rFonts w:ascii="楷体_GB2312" w:eastAsia="楷体_GB2312" w:hAnsi="Calibri" w:cs="Times New Roman" w:hint="eastAsia"/>
          <w:szCs w:val="21"/>
        </w:rPr>
        <w:t>①</w:t>
      </w:r>
      <w:r w:rsidR="00927528" w:rsidRPr="00927528">
        <w:rPr>
          <w:rFonts w:ascii="楷体_GB2312" w:eastAsia="楷体_GB2312" w:hAnsi="Calibri" w:cs="Times New Roman"/>
          <w:szCs w:val="21"/>
        </w:rPr>
        <w:t>Sowing the Seeds of Food Security</w:t>
      </w:r>
      <w:r w:rsidR="00927528">
        <w:rPr>
          <w:rFonts w:ascii="楷体_GB2312" w:eastAsia="楷体_GB2312" w:hAnsi="Calibri" w:cs="Times New Roman" w:hint="eastAsia"/>
          <w:szCs w:val="21"/>
        </w:rPr>
        <w:t>（</w:t>
      </w:r>
      <w:r w:rsidR="00927528" w:rsidRPr="00927528">
        <w:rPr>
          <w:rFonts w:ascii="楷体_GB2312" w:eastAsia="楷体_GB2312" w:hAnsi="Calibri" w:cs="Times New Roman" w:hint="eastAsia"/>
          <w:szCs w:val="21"/>
        </w:rPr>
        <w:t>非洲的种子企业：播种粮食安全的种子</w:t>
      </w:r>
      <w:r w:rsidR="00927528">
        <w:rPr>
          <w:rFonts w:ascii="楷体_GB2312" w:eastAsia="楷体_GB2312" w:hAnsi="Calibri" w:cs="Times New Roman" w:hint="eastAsia"/>
          <w:szCs w:val="21"/>
        </w:rPr>
        <w:t>）、</w:t>
      </w:r>
      <w:r w:rsidR="00B87C7A">
        <w:rPr>
          <w:rFonts w:ascii="楷体_GB2312" w:eastAsia="楷体_GB2312" w:hAnsi="Calibri" w:cs="Times New Roman" w:hint="eastAsia"/>
          <w:szCs w:val="21"/>
        </w:rPr>
        <w:t>②</w:t>
      </w:r>
      <w:r w:rsidR="00927528" w:rsidRPr="00927528">
        <w:rPr>
          <w:rFonts w:ascii="楷体_GB2312" w:eastAsia="楷体_GB2312" w:hAnsi="Calibri" w:cs="Times New Roman"/>
          <w:szCs w:val="21"/>
        </w:rPr>
        <w:t>Tropical Fruits, Volume 1</w:t>
      </w:r>
      <w:r w:rsidR="00927528">
        <w:rPr>
          <w:rFonts w:ascii="楷体_GB2312" w:eastAsia="楷体_GB2312" w:hAnsi="Calibri" w:cs="Times New Roman" w:hint="eastAsia"/>
          <w:szCs w:val="21"/>
        </w:rPr>
        <w:t>（热带水果）、</w:t>
      </w:r>
      <w:r w:rsidR="00B87C7A">
        <w:rPr>
          <w:rFonts w:ascii="楷体_GB2312" w:eastAsia="楷体_GB2312" w:hAnsi="Calibri" w:cs="Times New Roman" w:hint="eastAsia"/>
          <w:szCs w:val="21"/>
        </w:rPr>
        <w:t>③</w:t>
      </w:r>
      <w:r w:rsidR="00927528" w:rsidRPr="00927528">
        <w:rPr>
          <w:rFonts w:ascii="楷体_GB2312" w:eastAsia="楷体_GB2312" w:hAnsi="Calibri" w:cs="Times New Roman"/>
          <w:szCs w:val="21"/>
        </w:rPr>
        <w:t>Greenhouse Technology and Management</w:t>
      </w:r>
      <w:r w:rsidR="00927528">
        <w:rPr>
          <w:rFonts w:ascii="楷体_GB2312" w:eastAsia="楷体_GB2312" w:hAnsi="Calibri" w:cs="Times New Roman" w:hint="eastAsia"/>
          <w:szCs w:val="21"/>
        </w:rPr>
        <w:t>（温室技术与管理）、</w:t>
      </w:r>
      <w:r w:rsidR="00B87C7A">
        <w:rPr>
          <w:rFonts w:ascii="楷体_GB2312" w:eastAsia="楷体_GB2312" w:hAnsi="Calibri" w:cs="Times New Roman" w:hint="eastAsia"/>
          <w:szCs w:val="21"/>
        </w:rPr>
        <w:t>④</w:t>
      </w:r>
      <w:r w:rsidR="00927528" w:rsidRPr="00927528">
        <w:rPr>
          <w:rFonts w:ascii="楷体_GB2312" w:eastAsia="楷体_GB2312" w:hAnsi="Calibri" w:cs="Times New Roman"/>
          <w:szCs w:val="21"/>
        </w:rPr>
        <w:t>Blueberries</w:t>
      </w:r>
      <w:r w:rsidR="00927528">
        <w:rPr>
          <w:rFonts w:ascii="楷体_GB2312" w:eastAsia="楷体_GB2312" w:hAnsi="Calibri" w:cs="Times New Roman" w:hint="eastAsia"/>
          <w:szCs w:val="21"/>
        </w:rPr>
        <w:t>（蓝莓）、</w:t>
      </w:r>
      <w:r w:rsidR="00B87C7A">
        <w:rPr>
          <w:rFonts w:ascii="楷体_GB2312" w:eastAsia="楷体_GB2312" w:hAnsi="Calibri" w:cs="Times New Roman" w:hint="eastAsia"/>
          <w:szCs w:val="21"/>
        </w:rPr>
        <w:t>⑤</w:t>
      </w:r>
      <w:r w:rsidR="00927528" w:rsidRPr="00927528">
        <w:rPr>
          <w:rFonts w:ascii="楷体_GB2312" w:eastAsia="楷体_GB2312" w:hAnsi="Calibri" w:cs="Times New Roman"/>
          <w:szCs w:val="21"/>
        </w:rPr>
        <w:t>Agricultural Seed Production</w:t>
      </w:r>
      <w:r w:rsidR="00927528">
        <w:rPr>
          <w:rFonts w:ascii="楷体_GB2312" w:eastAsia="楷体_GB2312" w:hAnsi="Calibri" w:cs="Times New Roman" w:hint="eastAsia"/>
          <w:szCs w:val="21"/>
        </w:rPr>
        <w:t>（农业种子生产）、</w:t>
      </w:r>
      <w:r w:rsidR="00762EDC">
        <w:rPr>
          <w:rFonts w:ascii="楷体_GB2312" w:eastAsia="楷体_GB2312" w:hAnsi="Calibri" w:cs="Times New Roman" w:hint="eastAsia"/>
          <w:szCs w:val="21"/>
        </w:rPr>
        <w:t>⑥</w:t>
      </w:r>
      <w:r w:rsidR="00927528" w:rsidRPr="00927528">
        <w:rPr>
          <w:rFonts w:ascii="楷体_GB2312" w:eastAsia="楷体_GB2312" w:hAnsi="Calibri" w:cs="Times New Roman"/>
          <w:szCs w:val="21"/>
        </w:rPr>
        <w:t>Animal Abuse: Helping Animals and People</w:t>
      </w:r>
      <w:r w:rsidR="00927528">
        <w:rPr>
          <w:rFonts w:ascii="楷体_GB2312" w:eastAsia="楷体_GB2312" w:hAnsi="Calibri" w:cs="Times New Roman" w:hint="eastAsia"/>
          <w:szCs w:val="21"/>
        </w:rPr>
        <w:t>（</w:t>
      </w:r>
      <w:r w:rsidR="00927528" w:rsidRPr="00927528">
        <w:rPr>
          <w:rFonts w:ascii="楷体_GB2312" w:eastAsia="楷体_GB2312" w:hAnsi="Calibri" w:cs="Times New Roman" w:hint="eastAsia"/>
          <w:szCs w:val="21"/>
        </w:rPr>
        <w:t>虐待动物：帮助动物和人。</w:t>
      </w:r>
      <w:r w:rsidR="00927528">
        <w:rPr>
          <w:rFonts w:ascii="楷体_GB2312" w:eastAsia="楷体_GB2312" w:hAnsi="Calibri" w:cs="Times New Roman" w:hint="eastAsia"/>
          <w:szCs w:val="21"/>
        </w:rPr>
        <w:t>）、</w:t>
      </w:r>
      <w:r w:rsidR="00762EDC">
        <w:rPr>
          <w:rFonts w:ascii="楷体_GB2312" w:eastAsia="楷体_GB2312" w:hAnsi="Calibri" w:cs="Times New Roman" w:hint="eastAsia"/>
          <w:szCs w:val="21"/>
        </w:rPr>
        <w:t>⑦</w:t>
      </w:r>
      <w:r w:rsidR="00927528" w:rsidRPr="00927528">
        <w:rPr>
          <w:rFonts w:ascii="楷体_GB2312" w:eastAsia="楷体_GB2312" w:hAnsi="Calibri" w:cs="Times New Roman"/>
          <w:szCs w:val="21"/>
        </w:rPr>
        <w:t>Avocado, The: Botany, Production and Uses</w:t>
      </w:r>
      <w:r w:rsidR="00927528">
        <w:rPr>
          <w:rFonts w:ascii="楷体_GB2312" w:eastAsia="楷体_GB2312" w:hAnsi="Calibri" w:cs="Times New Roman" w:hint="eastAsia"/>
          <w:szCs w:val="21"/>
        </w:rPr>
        <w:t>（</w:t>
      </w:r>
      <w:r w:rsidR="00927528" w:rsidRPr="00927528">
        <w:rPr>
          <w:rFonts w:ascii="楷体_GB2312" w:eastAsia="楷体_GB2312" w:hAnsi="Calibri" w:cs="Times New Roman" w:hint="eastAsia"/>
          <w:szCs w:val="21"/>
        </w:rPr>
        <w:t>鳄梨：植物学、生产与使用</w:t>
      </w:r>
      <w:r w:rsidR="00927528">
        <w:rPr>
          <w:rFonts w:ascii="楷体_GB2312" w:eastAsia="楷体_GB2312" w:hAnsi="Calibri" w:cs="Times New Roman" w:hint="eastAsia"/>
          <w:szCs w:val="21"/>
        </w:rPr>
        <w:t>）、</w:t>
      </w:r>
      <w:r w:rsidR="00762EDC">
        <w:rPr>
          <w:rFonts w:ascii="楷体_GB2312" w:eastAsia="楷体_GB2312" w:hAnsi="Calibri" w:cs="Times New Roman" w:hint="eastAsia"/>
          <w:szCs w:val="21"/>
        </w:rPr>
        <w:t>⑧</w:t>
      </w:r>
      <w:r w:rsidR="00927528" w:rsidRPr="00927528">
        <w:rPr>
          <w:rFonts w:ascii="楷体_GB2312" w:eastAsia="楷体_GB2312" w:hAnsi="Calibri" w:cs="Times New Roman"/>
          <w:szCs w:val="21"/>
        </w:rPr>
        <w:t>Raspberries</w:t>
      </w:r>
      <w:r w:rsidR="00B87C7A">
        <w:rPr>
          <w:rFonts w:ascii="楷体_GB2312" w:eastAsia="楷体_GB2312" w:hAnsi="Calibri" w:cs="Times New Roman" w:hint="eastAsia"/>
          <w:szCs w:val="21"/>
        </w:rPr>
        <w:t>（树莓）</w:t>
      </w:r>
      <w:r w:rsidR="00927528">
        <w:rPr>
          <w:rFonts w:ascii="楷体_GB2312" w:eastAsia="楷体_GB2312" w:hAnsi="Calibri" w:cs="Times New Roman" w:hint="eastAsia"/>
          <w:szCs w:val="21"/>
        </w:rPr>
        <w:t>、</w:t>
      </w:r>
      <w:r w:rsidR="00762EDC">
        <w:rPr>
          <w:rFonts w:ascii="楷体_GB2312" w:eastAsia="楷体_GB2312" w:hAnsi="Calibri" w:cs="Times New Roman" w:hint="eastAsia"/>
          <w:szCs w:val="21"/>
        </w:rPr>
        <w:t>⑨</w:t>
      </w:r>
      <w:r w:rsidR="00927528" w:rsidRPr="00927528">
        <w:rPr>
          <w:rFonts w:ascii="楷体_GB2312" w:eastAsia="楷体_GB2312" w:hAnsi="Calibri" w:cs="Times New Roman"/>
          <w:szCs w:val="21"/>
        </w:rPr>
        <w:t>Agricultural Markets in a Transitioning Economy: An Albanian Case Study</w:t>
      </w:r>
      <w:r w:rsidR="00B87C7A">
        <w:rPr>
          <w:rFonts w:ascii="楷体_GB2312" w:eastAsia="楷体_GB2312" w:hAnsi="Calibri" w:cs="Times New Roman" w:hint="eastAsia"/>
          <w:szCs w:val="21"/>
        </w:rPr>
        <w:t>（</w:t>
      </w:r>
      <w:r w:rsidR="00B87C7A" w:rsidRPr="00B87C7A">
        <w:rPr>
          <w:rFonts w:ascii="楷体_GB2312" w:eastAsia="楷体_GB2312" w:hAnsi="Calibri" w:cs="Times New Roman" w:hint="eastAsia"/>
          <w:szCs w:val="21"/>
        </w:rPr>
        <w:t>经济转型时期</w:t>
      </w:r>
      <w:r w:rsidR="00B87C7A">
        <w:rPr>
          <w:rFonts w:ascii="楷体_GB2312" w:eastAsia="楷体_GB2312" w:hAnsi="Calibri" w:cs="Times New Roman" w:hint="eastAsia"/>
          <w:szCs w:val="21"/>
        </w:rPr>
        <w:t>的</w:t>
      </w:r>
      <w:r w:rsidR="00B87C7A" w:rsidRPr="00B87C7A">
        <w:rPr>
          <w:rFonts w:ascii="楷体_GB2312" w:eastAsia="楷体_GB2312" w:hAnsi="Calibri" w:cs="Times New Roman" w:hint="eastAsia"/>
          <w:szCs w:val="21"/>
        </w:rPr>
        <w:t>农业市场：阿尔巴尼亚案例研究</w:t>
      </w:r>
      <w:r w:rsidR="00B87C7A">
        <w:rPr>
          <w:rFonts w:ascii="楷体_GB2312" w:eastAsia="楷体_GB2312" w:hAnsi="Calibri" w:cs="Times New Roman" w:hint="eastAsia"/>
          <w:szCs w:val="21"/>
        </w:rPr>
        <w:t>）</w:t>
      </w:r>
      <w:r w:rsidR="00927528">
        <w:rPr>
          <w:rFonts w:ascii="楷体_GB2312" w:eastAsia="楷体_GB2312" w:hAnsi="Calibri" w:cs="Times New Roman" w:hint="eastAsia"/>
          <w:szCs w:val="21"/>
        </w:rPr>
        <w:t>、</w:t>
      </w:r>
      <w:r w:rsidR="00762EDC">
        <w:rPr>
          <w:rFonts w:ascii="楷体_GB2312" w:eastAsia="楷体_GB2312" w:hAnsi="Calibri" w:cs="Times New Roman" w:hint="eastAsia"/>
          <w:szCs w:val="21"/>
        </w:rPr>
        <w:t>⑩</w:t>
      </w:r>
      <w:r w:rsidR="00927528" w:rsidRPr="00927528">
        <w:rPr>
          <w:rFonts w:ascii="楷体_GB2312" w:eastAsia="楷体_GB2312" w:hAnsi="Calibri" w:cs="Times New Roman"/>
          <w:szCs w:val="21"/>
        </w:rPr>
        <w:t>Amino Acids in Human Nutrition and Health</w:t>
      </w:r>
      <w:r w:rsidR="00B87C7A">
        <w:rPr>
          <w:rFonts w:ascii="楷体_GB2312" w:eastAsia="楷体_GB2312" w:hAnsi="Calibri" w:cs="Times New Roman" w:hint="eastAsia"/>
          <w:szCs w:val="21"/>
        </w:rPr>
        <w:t>（</w:t>
      </w:r>
      <w:r w:rsidR="00B87C7A" w:rsidRPr="00B87C7A">
        <w:rPr>
          <w:rFonts w:ascii="楷体_GB2312" w:eastAsia="楷体_GB2312" w:hAnsi="Calibri" w:cs="Times New Roman" w:hint="eastAsia"/>
          <w:szCs w:val="21"/>
        </w:rPr>
        <w:t>人体营养与健康的氨基酸</w:t>
      </w:r>
      <w:r w:rsidR="00B87C7A">
        <w:rPr>
          <w:rFonts w:ascii="楷体_GB2312" w:eastAsia="楷体_GB2312" w:hAnsi="Calibri" w:cs="Times New Roman" w:hint="eastAsia"/>
          <w:szCs w:val="21"/>
        </w:rPr>
        <w:t>）</w:t>
      </w:r>
      <w:r w:rsidR="00762EDC">
        <w:rPr>
          <w:rFonts w:ascii="楷体_GB2312" w:eastAsia="楷体_GB2312" w:hAnsi="Calibri" w:cs="Times New Roman" w:hint="eastAsia"/>
          <w:szCs w:val="21"/>
        </w:rPr>
        <w:t>。在这十种图书中，只有</w:t>
      </w:r>
      <w:r w:rsidR="00762EDC" w:rsidRPr="00927528">
        <w:rPr>
          <w:rFonts w:ascii="楷体_GB2312" w:eastAsia="楷体_GB2312" w:hAnsi="Calibri" w:cs="Times New Roman"/>
          <w:szCs w:val="21"/>
        </w:rPr>
        <w:t>Blueberries</w:t>
      </w:r>
      <w:r w:rsidR="00762EDC">
        <w:rPr>
          <w:rFonts w:ascii="楷体_GB2312" w:eastAsia="楷体_GB2312" w:hAnsi="Calibri" w:cs="Times New Roman" w:hint="eastAsia"/>
          <w:szCs w:val="21"/>
        </w:rPr>
        <w:t>一书的使用者一半以上为中国农业大学用户，另九种图书的使用者分散在其它11所外国教材中心所在的高校内</w:t>
      </w:r>
      <w:r w:rsidR="00477EF6">
        <w:rPr>
          <w:rFonts w:ascii="楷体_GB2312" w:eastAsia="楷体_GB2312" w:hAnsi="Calibri" w:cs="Times New Roman" w:hint="eastAsia"/>
          <w:szCs w:val="21"/>
        </w:rPr>
        <w:t>。由此可以看出，由于学科发展使得</w:t>
      </w:r>
      <w:r w:rsidR="0015413B">
        <w:rPr>
          <w:rFonts w:ascii="楷体_GB2312" w:eastAsia="楷体_GB2312" w:hAnsi="Calibri" w:cs="Times New Roman" w:hint="eastAsia"/>
          <w:szCs w:val="21"/>
        </w:rPr>
        <w:t>学科间相互交叉深透的关系越来越密切，</w:t>
      </w:r>
      <w:r w:rsidR="00477EF6">
        <w:rPr>
          <w:rFonts w:ascii="楷体_GB2312" w:eastAsia="楷体_GB2312" w:hAnsi="Calibri" w:cs="Times New Roman" w:hint="eastAsia"/>
          <w:szCs w:val="21"/>
        </w:rPr>
        <w:t>农业类的图书在综合类高校或理工类高校</w:t>
      </w:r>
      <w:r w:rsidR="0015413B">
        <w:rPr>
          <w:rFonts w:ascii="楷体_GB2312" w:eastAsia="楷体_GB2312" w:hAnsi="Calibri" w:cs="Times New Roman" w:hint="eastAsia"/>
          <w:szCs w:val="21"/>
        </w:rPr>
        <w:t>中的需求也越来越明显。</w:t>
      </w:r>
    </w:p>
    <w:p w:rsidR="006C5BE9" w:rsidRPr="00357057" w:rsidRDefault="00357057" w:rsidP="00357057">
      <w:pPr>
        <w:pStyle w:val="2"/>
        <w:adjustRightInd w:val="0"/>
        <w:snapToGrid w:val="0"/>
        <w:spacing w:before="0" w:after="0" w:line="360" w:lineRule="auto"/>
      </w:pPr>
      <w:r w:rsidRPr="00357057">
        <w:rPr>
          <w:rFonts w:hint="eastAsia"/>
        </w:rPr>
        <w:t xml:space="preserve">3.2 </w:t>
      </w:r>
      <w:r w:rsidRPr="00357057">
        <w:rPr>
          <w:rFonts w:hint="eastAsia"/>
        </w:rPr>
        <w:t>涉农高校联盟引进</w:t>
      </w:r>
      <w:r w:rsidRPr="00357057">
        <w:rPr>
          <w:rFonts w:hint="eastAsia"/>
        </w:rPr>
        <w:t>CABI</w:t>
      </w:r>
      <w:r w:rsidRPr="00357057">
        <w:rPr>
          <w:rFonts w:hint="eastAsia"/>
        </w:rPr>
        <w:t>电子图书分析</w:t>
      </w:r>
    </w:p>
    <w:p w:rsidR="000B38DE" w:rsidRPr="007E3703" w:rsidRDefault="00A7579B" w:rsidP="003D60EE">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 xml:space="preserve">    在外教中心引进CABI电子图书的同时，CALIS农学中心也借着这个契机，</w:t>
      </w:r>
      <w:r w:rsidR="007E3703">
        <w:rPr>
          <w:rFonts w:ascii="楷体_GB2312" w:eastAsia="楷体_GB2312" w:hAnsi="Calibri" w:cs="Times New Roman" w:hint="eastAsia"/>
          <w:szCs w:val="21"/>
        </w:rPr>
        <w:t>在</w:t>
      </w:r>
      <w:r>
        <w:rPr>
          <w:rFonts w:ascii="楷体_GB2312" w:eastAsia="楷体_GB2312" w:hAnsi="Calibri" w:cs="Times New Roman" w:hint="eastAsia"/>
          <w:szCs w:val="21"/>
        </w:rPr>
        <w:t>已有12</w:t>
      </w:r>
      <w:r w:rsidR="007E3703">
        <w:rPr>
          <w:rFonts w:ascii="楷体_GB2312" w:eastAsia="楷体_GB2312" w:hAnsi="Calibri" w:cs="Times New Roman" w:hint="eastAsia"/>
          <w:szCs w:val="21"/>
        </w:rPr>
        <w:t>家用户的基础上，与数据库商进行了反复的商谈；</w:t>
      </w:r>
      <w:r>
        <w:rPr>
          <w:rFonts w:ascii="楷体_GB2312" w:eastAsia="楷体_GB2312" w:hAnsi="Calibri" w:cs="Times New Roman" w:hint="eastAsia"/>
          <w:szCs w:val="21"/>
        </w:rPr>
        <w:t>最终</w:t>
      </w:r>
      <w:r w:rsidR="007E3703">
        <w:rPr>
          <w:rFonts w:ascii="楷体_GB2312" w:eastAsia="楷体_GB2312" w:hAnsi="Calibri" w:cs="Times New Roman" w:hint="eastAsia"/>
          <w:szCs w:val="21"/>
        </w:rPr>
        <w:t>以非常优惠的价格</w:t>
      </w:r>
      <w:r>
        <w:rPr>
          <w:rFonts w:ascii="楷体_GB2312" w:eastAsia="楷体_GB2312" w:hAnsi="Calibri" w:cs="Times New Roman" w:hint="eastAsia"/>
          <w:szCs w:val="21"/>
        </w:rPr>
        <w:t>在全国</w:t>
      </w:r>
      <w:r w:rsidR="007E3703">
        <w:rPr>
          <w:rFonts w:ascii="楷体_GB2312" w:eastAsia="楷体_GB2312" w:hAnsi="Calibri" w:cs="Times New Roman" w:hint="eastAsia"/>
          <w:szCs w:val="21"/>
        </w:rPr>
        <w:t>涉农高校</w:t>
      </w:r>
      <w:r>
        <w:rPr>
          <w:rFonts w:ascii="楷体_GB2312" w:eastAsia="楷体_GB2312" w:hAnsi="Calibri" w:cs="Times New Roman" w:hint="eastAsia"/>
          <w:szCs w:val="21"/>
        </w:rPr>
        <w:t>范围内组织</w:t>
      </w:r>
      <w:r w:rsidR="007E3703">
        <w:rPr>
          <w:rFonts w:ascii="楷体_GB2312" w:eastAsia="楷体_GB2312" w:hAnsi="Calibri" w:cs="Times New Roman" w:hint="eastAsia"/>
          <w:szCs w:val="21"/>
        </w:rPr>
        <w:t>该电子图书的联盟采购，共有18家高校</w:t>
      </w:r>
      <w:r w:rsidR="001B564F">
        <w:rPr>
          <w:rFonts w:ascii="楷体_GB2312" w:eastAsia="楷体_GB2312" w:hAnsi="Calibri" w:cs="Times New Roman" w:hint="eastAsia"/>
          <w:szCs w:val="21"/>
        </w:rPr>
        <w:t>参与购买。</w:t>
      </w:r>
    </w:p>
    <w:p w:rsidR="000B38DE" w:rsidRDefault="000B38DE" w:rsidP="003D60EE">
      <w:pPr>
        <w:autoSpaceDE w:val="0"/>
        <w:autoSpaceDN w:val="0"/>
        <w:adjustRightInd w:val="0"/>
        <w:snapToGrid w:val="0"/>
        <w:spacing w:line="360" w:lineRule="auto"/>
        <w:rPr>
          <w:rFonts w:ascii="楷体_GB2312" w:eastAsia="楷体_GB2312" w:hAnsi="Calibri" w:cs="Times New Roman"/>
          <w:szCs w:val="21"/>
        </w:rPr>
      </w:pPr>
      <w:r w:rsidRPr="000B38DE">
        <w:rPr>
          <w:rFonts w:ascii="楷体_GB2312" w:eastAsia="楷体_GB2312" w:hAnsi="Calibri" w:cs="Times New Roman"/>
          <w:noProof/>
          <w:szCs w:val="21"/>
        </w:rPr>
        <w:drawing>
          <wp:inline distT="0" distB="0" distL="0" distR="0">
            <wp:extent cx="5274310" cy="3216474"/>
            <wp:effectExtent l="19050" t="0" r="21590" b="2976"/>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3703" w:rsidRDefault="007E3703" w:rsidP="007E3703">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图8 涉农高校CABI电子图书使用统计（2014年12月-2015年11月）</w:t>
      </w:r>
    </w:p>
    <w:p w:rsidR="007E3703" w:rsidRDefault="00F662D8" w:rsidP="00640572">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图8</w:t>
      </w:r>
      <w:r w:rsidR="00EA1D21">
        <w:rPr>
          <w:rFonts w:ascii="楷体_GB2312" w:eastAsia="楷体_GB2312" w:hAnsi="Calibri" w:cs="Times New Roman" w:hint="eastAsia"/>
          <w:szCs w:val="21"/>
        </w:rPr>
        <w:t>为18家涉农高校使用CABI电子图书的使用量统计,</w:t>
      </w:r>
      <w:r w:rsidR="00780CA0">
        <w:rPr>
          <w:rFonts w:ascii="楷体_GB2312" w:eastAsia="楷体_GB2312" w:hAnsi="Calibri" w:cs="Times New Roman" w:hint="eastAsia"/>
          <w:szCs w:val="21"/>
        </w:rPr>
        <w:t>使用量最高的三个学校分别是内蒙古农业大学、</w:t>
      </w:r>
      <w:r w:rsidR="00C32D3E">
        <w:rPr>
          <w:rFonts w:ascii="楷体_GB2312" w:eastAsia="楷体_GB2312" w:hAnsi="Calibri" w:cs="Times New Roman" w:hint="eastAsia"/>
          <w:szCs w:val="21"/>
        </w:rPr>
        <w:t>甘肃农业大学、河北农业大学。无论是从文献经费方面还是从引进原版电子</w:t>
      </w:r>
      <w:r w:rsidR="00C32D3E">
        <w:rPr>
          <w:rFonts w:ascii="楷体_GB2312" w:eastAsia="楷体_GB2312" w:hAnsi="Calibri" w:cs="Times New Roman" w:hint="eastAsia"/>
          <w:szCs w:val="21"/>
        </w:rPr>
        <w:lastRenderedPageBreak/>
        <w:t>图书的数量</w:t>
      </w:r>
      <w:r w:rsidR="002A4F9D">
        <w:rPr>
          <w:rFonts w:ascii="楷体_GB2312" w:eastAsia="楷体_GB2312" w:hAnsi="Calibri" w:cs="Times New Roman" w:hint="eastAsia"/>
          <w:szCs w:val="21"/>
        </w:rPr>
        <w:t>方面分析，这三所学校在全国涉农高校中都处在相对较</w:t>
      </w:r>
      <w:r w:rsidR="00C32D3E">
        <w:rPr>
          <w:rFonts w:ascii="楷体_GB2312" w:eastAsia="楷体_GB2312" w:hAnsi="Calibri" w:cs="Times New Roman" w:hint="eastAsia"/>
          <w:szCs w:val="21"/>
        </w:rPr>
        <w:t>后的</w:t>
      </w:r>
      <w:r w:rsidR="002A4F9D">
        <w:rPr>
          <w:rFonts w:ascii="楷体_GB2312" w:eastAsia="楷体_GB2312" w:hAnsi="Calibri" w:cs="Times New Roman" w:hint="eastAsia"/>
          <w:szCs w:val="21"/>
        </w:rPr>
        <w:t>位置，而使用量的领先则说明了学校用户对原版电子图书类文献的强烈需求。</w:t>
      </w:r>
      <w:r w:rsidR="00185BCC">
        <w:rPr>
          <w:rFonts w:ascii="楷体_GB2312" w:eastAsia="楷体_GB2312" w:hAnsi="Calibri" w:cs="Times New Roman" w:hint="eastAsia"/>
          <w:szCs w:val="21"/>
        </w:rPr>
        <w:t>分析其他学校也呈现类似的规律，越是</w:t>
      </w:r>
      <w:r w:rsidR="007C66DF">
        <w:rPr>
          <w:rFonts w:ascii="楷体_GB2312" w:eastAsia="楷体_GB2312" w:hAnsi="Calibri" w:cs="Times New Roman" w:hint="eastAsia"/>
          <w:szCs w:val="21"/>
        </w:rPr>
        <w:t>经费较少、</w:t>
      </w:r>
      <w:r w:rsidR="00185BCC">
        <w:rPr>
          <w:rFonts w:ascii="楷体_GB2312" w:eastAsia="楷体_GB2312" w:hAnsi="Calibri" w:cs="Times New Roman" w:hint="eastAsia"/>
          <w:szCs w:val="21"/>
        </w:rPr>
        <w:t>资源不足的学校，</w:t>
      </w:r>
      <w:r w:rsidR="007C66DF">
        <w:rPr>
          <w:rFonts w:ascii="楷体_GB2312" w:eastAsia="楷体_GB2312" w:hAnsi="Calibri" w:cs="Times New Roman" w:hint="eastAsia"/>
          <w:szCs w:val="21"/>
        </w:rPr>
        <w:t>电子图书的</w:t>
      </w:r>
      <w:r w:rsidR="00185BCC">
        <w:rPr>
          <w:rFonts w:ascii="楷体_GB2312" w:eastAsia="楷体_GB2312" w:hAnsi="Calibri" w:cs="Times New Roman" w:hint="eastAsia"/>
          <w:szCs w:val="21"/>
        </w:rPr>
        <w:t>使用量相对越高。</w:t>
      </w:r>
      <w:r w:rsidR="007C66DF">
        <w:rPr>
          <w:rFonts w:ascii="楷体_GB2312" w:eastAsia="楷体_GB2312" w:hAnsi="Calibri" w:cs="Times New Roman" w:hint="eastAsia"/>
          <w:szCs w:val="21"/>
        </w:rPr>
        <w:t>究其原因，可以</w:t>
      </w:r>
      <w:r w:rsidR="00185BCC">
        <w:rPr>
          <w:rFonts w:ascii="楷体_GB2312" w:eastAsia="楷体_GB2312" w:hAnsi="Calibri" w:cs="Times New Roman" w:hint="eastAsia"/>
          <w:szCs w:val="21"/>
        </w:rPr>
        <w:t>总结</w:t>
      </w:r>
      <w:r w:rsidR="007C66DF">
        <w:rPr>
          <w:rFonts w:ascii="楷体_GB2312" w:eastAsia="楷体_GB2312" w:hAnsi="Calibri" w:cs="Times New Roman" w:hint="eastAsia"/>
          <w:szCs w:val="21"/>
        </w:rPr>
        <w:t>出</w:t>
      </w:r>
      <w:r w:rsidR="00185BCC">
        <w:rPr>
          <w:rFonts w:ascii="楷体_GB2312" w:eastAsia="楷体_GB2312" w:hAnsi="Calibri" w:cs="Times New Roman" w:hint="eastAsia"/>
          <w:szCs w:val="21"/>
        </w:rPr>
        <w:t>农业高校原版电子图书建设的特点，</w:t>
      </w:r>
      <w:r w:rsidR="007C66DF">
        <w:rPr>
          <w:rFonts w:ascii="楷体_GB2312" w:eastAsia="楷体_GB2312" w:hAnsi="Calibri" w:cs="Times New Roman" w:hint="eastAsia"/>
          <w:szCs w:val="21"/>
        </w:rPr>
        <w:t>地理位置</w:t>
      </w:r>
      <w:r w:rsidR="002A4F9D">
        <w:rPr>
          <w:rFonts w:ascii="楷体_GB2312" w:eastAsia="楷体_GB2312" w:hAnsi="Calibri" w:cs="Times New Roman" w:hint="eastAsia"/>
          <w:szCs w:val="21"/>
        </w:rPr>
        <w:t>偏远，文献经费不足都是制约发展的主要因素</w:t>
      </w:r>
      <w:r w:rsidR="007C66DF">
        <w:rPr>
          <w:rFonts w:ascii="楷体_GB2312" w:eastAsia="楷体_GB2312" w:hAnsi="Calibri" w:cs="Times New Roman" w:hint="eastAsia"/>
          <w:szCs w:val="21"/>
        </w:rPr>
        <w:t>。因此对于涉农高校而言，</w:t>
      </w:r>
      <w:r w:rsidR="00960D43">
        <w:rPr>
          <w:rFonts w:ascii="楷体_GB2312" w:eastAsia="楷体_GB2312" w:hAnsi="Calibri" w:cs="Times New Roman" w:hint="eastAsia"/>
          <w:szCs w:val="21"/>
        </w:rPr>
        <w:t>引进原版电子图书的最佳途径应该是针对本校学科需求选择最</w:t>
      </w:r>
      <w:r w:rsidR="009963E3">
        <w:rPr>
          <w:rFonts w:ascii="楷体_GB2312" w:eastAsia="楷体_GB2312" w:hAnsi="Calibri" w:cs="Times New Roman" w:hint="eastAsia"/>
          <w:szCs w:val="21"/>
        </w:rPr>
        <w:t>合适</w:t>
      </w:r>
      <w:r w:rsidR="007C66DF">
        <w:rPr>
          <w:rFonts w:ascii="楷体_GB2312" w:eastAsia="楷体_GB2312" w:hAnsi="Calibri" w:cs="Times New Roman" w:hint="eastAsia"/>
          <w:szCs w:val="21"/>
        </w:rPr>
        <w:t>的</w:t>
      </w:r>
      <w:r w:rsidR="00960D43">
        <w:rPr>
          <w:rFonts w:ascii="楷体_GB2312" w:eastAsia="楷体_GB2312" w:hAnsi="Calibri" w:cs="Times New Roman" w:hint="eastAsia"/>
          <w:szCs w:val="21"/>
        </w:rPr>
        <w:t>内容</w:t>
      </w:r>
      <w:r w:rsidR="007C66DF">
        <w:rPr>
          <w:rFonts w:ascii="楷体_GB2312" w:eastAsia="楷体_GB2312" w:hAnsi="Calibri" w:cs="Times New Roman" w:hint="eastAsia"/>
          <w:szCs w:val="21"/>
        </w:rPr>
        <w:t>，</w:t>
      </w:r>
      <w:r w:rsidR="00960D43">
        <w:rPr>
          <w:rFonts w:ascii="楷体_GB2312" w:eastAsia="楷体_GB2312" w:hAnsi="Calibri" w:cs="Times New Roman" w:hint="eastAsia"/>
          <w:szCs w:val="21"/>
        </w:rPr>
        <w:t>同时争取以集团联盟采购的模式得到最优的价格。</w:t>
      </w:r>
    </w:p>
    <w:p w:rsidR="00640572" w:rsidRPr="00640572" w:rsidRDefault="00640572" w:rsidP="00640572">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对各涉农高校使用CABI电子图书的内容进行具体分析(附件5)</w:t>
      </w:r>
      <w:r w:rsidR="00B07CD0">
        <w:rPr>
          <w:rFonts w:ascii="楷体_GB2312" w:eastAsia="楷体_GB2312" w:hAnsi="Calibri" w:cs="Times New Roman" w:hint="eastAsia"/>
          <w:szCs w:val="21"/>
        </w:rPr>
        <w:t>，138种</w:t>
      </w:r>
      <w:r w:rsidR="00B07CD0" w:rsidRPr="00A013B1">
        <w:rPr>
          <w:rFonts w:ascii="楷体_GB2312" w:eastAsia="楷体_GB2312" w:hAnsi="Calibri" w:cs="Times New Roman" w:hint="eastAsia"/>
          <w:szCs w:val="21"/>
        </w:rPr>
        <w:t>图书</w:t>
      </w:r>
      <w:r w:rsidR="00635856" w:rsidRPr="00A013B1">
        <w:rPr>
          <w:rFonts w:ascii="楷体_GB2312" w:eastAsia="楷体_GB2312" w:hAnsi="Calibri" w:cs="Times New Roman" w:hint="eastAsia"/>
          <w:szCs w:val="21"/>
        </w:rPr>
        <w:t>中有113种被点击阅读,</w:t>
      </w:r>
      <w:r w:rsidR="00B07CD0" w:rsidRPr="00A013B1">
        <w:rPr>
          <w:rFonts w:ascii="楷体_GB2312" w:eastAsia="楷体_GB2312" w:hAnsi="Calibri" w:cs="Times New Roman" w:hint="eastAsia"/>
          <w:szCs w:val="21"/>
        </w:rPr>
        <w:t>阅读</w:t>
      </w:r>
      <w:r w:rsidR="0024340D">
        <w:rPr>
          <w:rFonts w:ascii="楷体_GB2312" w:eastAsia="楷体_GB2312" w:hAnsi="Calibri" w:cs="Times New Roman" w:hint="eastAsia"/>
          <w:szCs w:val="21"/>
        </w:rPr>
        <w:t>量</w:t>
      </w:r>
      <w:r w:rsidR="00B07CD0" w:rsidRPr="00A013B1">
        <w:rPr>
          <w:rFonts w:ascii="楷体_GB2312" w:eastAsia="楷体_GB2312" w:hAnsi="Calibri" w:cs="Times New Roman" w:hint="eastAsia"/>
          <w:szCs w:val="21"/>
        </w:rPr>
        <w:t>占比</w:t>
      </w:r>
      <w:r w:rsidR="00635856" w:rsidRPr="00A013B1">
        <w:rPr>
          <w:rFonts w:ascii="楷体_GB2312" w:eastAsia="楷体_GB2312" w:hAnsi="Calibri" w:cs="Times New Roman" w:hint="eastAsia"/>
          <w:szCs w:val="21"/>
        </w:rPr>
        <w:t>为81.88%</w:t>
      </w:r>
      <w:r w:rsidR="00571E60" w:rsidRPr="00A013B1">
        <w:rPr>
          <w:rFonts w:ascii="楷体_GB2312" w:eastAsia="楷体_GB2312" w:hAnsi="Calibri" w:cs="Times New Roman" w:hint="eastAsia"/>
          <w:szCs w:val="21"/>
        </w:rPr>
        <w:t>，</w:t>
      </w:r>
      <w:r w:rsidR="00635856" w:rsidRPr="00A013B1">
        <w:rPr>
          <w:rFonts w:ascii="楷体_GB2312" w:eastAsia="楷体_GB2312" w:hAnsi="Calibri" w:cs="Times New Roman" w:hint="eastAsia"/>
          <w:szCs w:val="21"/>
        </w:rPr>
        <w:t>点击量最高的前十种图书分别为：①</w:t>
      </w:r>
      <w:r w:rsidR="00635856" w:rsidRPr="00A013B1">
        <w:rPr>
          <w:rFonts w:ascii="楷体_GB2312" w:eastAsia="楷体_GB2312" w:hAnsi="Calibri" w:cs="Times New Roman"/>
          <w:szCs w:val="21"/>
        </w:rPr>
        <w:t>African Seed Enterprises: Sowing the Seeds of Food Security</w:t>
      </w:r>
      <w:r w:rsidR="00261F80" w:rsidRPr="00A013B1">
        <w:rPr>
          <w:rFonts w:ascii="楷体_GB2312" w:eastAsia="楷体_GB2312" w:hAnsi="Calibri" w:cs="Times New Roman" w:hint="eastAsia"/>
          <w:szCs w:val="21"/>
        </w:rPr>
        <w:t>（非洲的种子企业：播种粮食安全的种子）</w:t>
      </w:r>
      <w:r w:rsidR="00FC705C" w:rsidRPr="00A013B1">
        <w:rPr>
          <w:rFonts w:ascii="楷体_GB2312" w:eastAsia="楷体_GB2312" w:hAnsi="Calibri" w:cs="Times New Roman" w:hint="eastAsia"/>
          <w:szCs w:val="21"/>
        </w:rPr>
        <w:t>、</w:t>
      </w:r>
      <w:r w:rsidR="00635856" w:rsidRPr="00A013B1">
        <w:rPr>
          <w:rFonts w:ascii="楷体_GB2312" w:eastAsia="楷体_GB2312" w:hAnsi="Calibri" w:cs="Times New Roman" w:hint="eastAsia"/>
          <w:szCs w:val="21"/>
        </w:rPr>
        <w:t>②</w:t>
      </w:r>
      <w:r w:rsidR="00635856" w:rsidRPr="00A013B1">
        <w:rPr>
          <w:rFonts w:ascii="楷体_GB2312" w:eastAsia="楷体_GB2312" w:hAnsi="Calibri" w:cs="Times New Roman"/>
          <w:szCs w:val="21"/>
        </w:rPr>
        <w:t>African Smallholders: Food Crops, Markets and Policy</w:t>
      </w:r>
      <w:r w:rsidR="00A93817" w:rsidRPr="00A013B1">
        <w:rPr>
          <w:rFonts w:ascii="楷体_GB2312" w:eastAsia="楷体_GB2312" w:hAnsi="Calibri" w:cs="Times New Roman" w:hint="eastAsia"/>
          <w:szCs w:val="21"/>
        </w:rPr>
        <w:t>（非洲小农：粮食作物，市场和政策）</w:t>
      </w:r>
      <w:r w:rsidR="00FC705C" w:rsidRPr="00A013B1">
        <w:rPr>
          <w:rFonts w:ascii="楷体_GB2312" w:eastAsia="楷体_GB2312" w:hAnsi="Calibri" w:cs="Times New Roman" w:hint="eastAsia"/>
          <w:szCs w:val="21"/>
        </w:rPr>
        <w:t>、</w:t>
      </w:r>
      <w:r w:rsidR="00635856" w:rsidRPr="00A013B1">
        <w:rPr>
          <w:rFonts w:ascii="楷体_GB2312" w:eastAsia="楷体_GB2312" w:hAnsi="Calibri" w:cs="Times New Roman" w:hint="eastAsia"/>
          <w:szCs w:val="21"/>
        </w:rPr>
        <w:t>③</w:t>
      </w:r>
      <w:r w:rsidR="00635856" w:rsidRPr="00A013B1">
        <w:rPr>
          <w:rFonts w:ascii="楷体_GB2312" w:eastAsia="楷体_GB2312" w:hAnsi="Calibri" w:cs="Times New Roman"/>
          <w:szCs w:val="21"/>
        </w:rPr>
        <w:t>Greenhouse Technology and Management</w:t>
      </w:r>
      <w:r w:rsidR="00261F80" w:rsidRPr="00A013B1">
        <w:rPr>
          <w:rFonts w:ascii="楷体_GB2312" w:eastAsia="楷体_GB2312" w:hAnsi="Calibri" w:cs="Times New Roman" w:hint="eastAsia"/>
          <w:szCs w:val="21"/>
        </w:rPr>
        <w:t>（温室技术与管理）</w:t>
      </w:r>
      <w:r w:rsidR="00FC705C" w:rsidRPr="00A013B1">
        <w:rPr>
          <w:rFonts w:ascii="楷体_GB2312" w:eastAsia="楷体_GB2312" w:hAnsi="Calibri" w:cs="Times New Roman" w:hint="eastAsia"/>
          <w:szCs w:val="21"/>
        </w:rPr>
        <w:t>、</w:t>
      </w:r>
      <w:r w:rsidR="00635856" w:rsidRPr="00A013B1">
        <w:rPr>
          <w:rFonts w:ascii="楷体_GB2312" w:eastAsia="楷体_GB2312" w:hAnsi="Calibri" w:cs="Times New Roman" w:hint="eastAsia"/>
          <w:szCs w:val="21"/>
        </w:rPr>
        <w:t>④</w:t>
      </w:r>
      <w:r w:rsidR="00635856" w:rsidRPr="00A013B1">
        <w:rPr>
          <w:rFonts w:ascii="楷体_GB2312" w:eastAsia="楷体_GB2312" w:hAnsi="Calibri" w:cs="Times New Roman"/>
          <w:szCs w:val="21"/>
        </w:rPr>
        <w:t>Agricultural Markets in a Transitioning Economy: An Albanian Case Study</w:t>
      </w:r>
      <w:r w:rsidR="00261F80" w:rsidRPr="00A013B1">
        <w:rPr>
          <w:rFonts w:ascii="楷体_GB2312" w:eastAsia="楷体_GB2312" w:hAnsi="Calibri" w:cs="Times New Roman" w:hint="eastAsia"/>
          <w:szCs w:val="21"/>
        </w:rPr>
        <w:t>（经济转型时期的农业市场：阿尔巴尼亚案例研究）</w:t>
      </w:r>
      <w:r w:rsidR="00FC705C" w:rsidRPr="00A013B1">
        <w:rPr>
          <w:rFonts w:ascii="楷体_GB2312" w:eastAsia="楷体_GB2312" w:hAnsi="Calibri" w:cs="Times New Roman" w:hint="eastAsia"/>
          <w:szCs w:val="21"/>
        </w:rPr>
        <w:t>、</w:t>
      </w:r>
      <w:r w:rsidR="00635856" w:rsidRPr="00A013B1">
        <w:rPr>
          <w:rFonts w:ascii="楷体_GB2312" w:eastAsia="楷体_GB2312" w:hAnsi="Calibri" w:cs="Times New Roman" w:hint="eastAsia"/>
          <w:szCs w:val="21"/>
        </w:rPr>
        <w:t>⑤</w:t>
      </w:r>
      <w:r w:rsidR="00635856" w:rsidRPr="00A013B1">
        <w:rPr>
          <w:rFonts w:ascii="楷体_GB2312" w:eastAsia="楷体_GB2312" w:hAnsi="Calibri" w:cs="Times New Roman"/>
          <w:szCs w:val="21"/>
        </w:rPr>
        <w:t>Agricultural Seed Pro</w:t>
      </w:r>
      <w:r w:rsidR="00635856" w:rsidRPr="00640572">
        <w:rPr>
          <w:rFonts w:ascii="楷体_GB2312" w:eastAsia="楷体_GB2312" w:hAnsi="Calibri" w:cs="Times New Roman"/>
          <w:szCs w:val="21"/>
        </w:rPr>
        <w:t>duction</w:t>
      </w:r>
      <w:r w:rsidR="00261F80">
        <w:rPr>
          <w:rFonts w:ascii="楷体_GB2312" w:eastAsia="楷体_GB2312" w:hAnsi="Calibri" w:cs="Times New Roman" w:hint="eastAsia"/>
          <w:szCs w:val="21"/>
        </w:rPr>
        <w:t>（农业种子生产）</w:t>
      </w:r>
      <w:r w:rsidR="00FC705C">
        <w:rPr>
          <w:rFonts w:ascii="楷体_GB2312" w:eastAsia="楷体_GB2312" w:hAnsi="Calibri" w:cs="Times New Roman" w:hint="eastAsia"/>
          <w:szCs w:val="21"/>
        </w:rPr>
        <w:t>、</w:t>
      </w:r>
      <w:r w:rsidR="00635856">
        <w:rPr>
          <w:rFonts w:ascii="楷体_GB2312" w:eastAsia="楷体_GB2312" w:hAnsi="Calibri" w:cs="Times New Roman" w:hint="eastAsia"/>
          <w:szCs w:val="21"/>
        </w:rPr>
        <w:t>⑥</w:t>
      </w:r>
      <w:r w:rsidR="00635856" w:rsidRPr="00640572">
        <w:rPr>
          <w:rFonts w:ascii="楷体_GB2312" w:eastAsia="楷体_GB2312" w:hAnsi="Calibri" w:cs="Times New Roman"/>
          <w:szCs w:val="21"/>
        </w:rPr>
        <w:t>Integrated Pest Management: Potential, Constraints and Challenges</w:t>
      </w:r>
      <w:r w:rsidR="00E04553">
        <w:rPr>
          <w:rFonts w:ascii="楷体_GB2312" w:eastAsia="楷体_GB2312" w:hAnsi="Calibri" w:cs="Times New Roman" w:hint="eastAsia"/>
          <w:szCs w:val="21"/>
        </w:rPr>
        <w:t>（综合虫害管理：潜在的制约和挑战）</w:t>
      </w:r>
      <w:r w:rsidR="00FC705C">
        <w:rPr>
          <w:rFonts w:ascii="楷体_GB2312" w:eastAsia="楷体_GB2312" w:hAnsi="Calibri" w:cs="Times New Roman" w:hint="eastAsia"/>
          <w:szCs w:val="21"/>
        </w:rPr>
        <w:t>、</w:t>
      </w:r>
      <w:r w:rsidR="00635856">
        <w:rPr>
          <w:rFonts w:ascii="楷体_GB2312" w:eastAsia="楷体_GB2312" w:hAnsi="Calibri" w:cs="Times New Roman" w:hint="eastAsia"/>
          <w:szCs w:val="21"/>
        </w:rPr>
        <w:t>⑦</w:t>
      </w:r>
      <w:r w:rsidR="00635856" w:rsidRPr="00640572">
        <w:rPr>
          <w:rFonts w:ascii="楷体_GB2312" w:eastAsia="楷体_GB2312" w:hAnsi="Calibri" w:cs="Times New Roman"/>
          <w:szCs w:val="21"/>
        </w:rPr>
        <w:t>Crop Plant Anatomy</w:t>
      </w:r>
      <w:r w:rsidR="00E04553">
        <w:rPr>
          <w:rFonts w:ascii="楷体_GB2312" w:eastAsia="楷体_GB2312" w:hAnsi="Calibri" w:cs="Times New Roman" w:hint="eastAsia"/>
          <w:szCs w:val="21"/>
        </w:rPr>
        <w:t>（植物解剖学）</w:t>
      </w:r>
      <w:r w:rsidR="00FC705C">
        <w:rPr>
          <w:rFonts w:ascii="楷体_GB2312" w:eastAsia="楷体_GB2312" w:hAnsi="Calibri" w:cs="Times New Roman" w:hint="eastAsia"/>
          <w:szCs w:val="21"/>
        </w:rPr>
        <w:t>、</w:t>
      </w:r>
      <w:r w:rsidR="00635856">
        <w:rPr>
          <w:rFonts w:ascii="楷体_GB2312" w:eastAsia="楷体_GB2312" w:hAnsi="Calibri" w:cs="Times New Roman" w:hint="eastAsia"/>
          <w:szCs w:val="21"/>
        </w:rPr>
        <w:t>⑧</w:t>
      </w:r>
      <w:r w:rsidR="00635856" w:rsidRPr="00640572">
        <w:rPr>
          <w:rFonts w:ascii="楷体_GB2312" w:eastAsia="楷体_GB2312" w:hAnsi="Calibri" w:cs="Times New Roman"/>
          <w:szCs w:val="21"/>
        </w:rPr>
        <w:t>Beneficial Microorganisms in Agriculture, Food and the Environment: Safety Assessment and Regulation</w:t>
      </w:r>
      <w:r w:rsidR="003F21FA">
        <w:rPr>
          <w:rFonts w:ascii="楷体_GB2312" w:eastAsia="楷体_GB2312" w:hAnsi="Calibri" w:cs="Times New Roman" w:hint="eastAsia"/>
          <w:szCs w:val="21"/>
        </w:rPr>
        <w:t>（</w:t>
      </w:r>
      <w:r w:rsidR="003F21FA" w:rsidRPr="003F21FA">
        <w:rPr>
          <w:rFonts w:ascii="楷体_GB2312" w:eastAsia="楷体_GB2312" w:hAnsi="Calibri" w:cs="Times New Roman" w:hint="eastAsia"/>
          <w:szCs w:val="21"/>
        </w:rPr>
        <w:t>农业</w:t>
      </w:r>
      <w:r w:rsidR="003F21FA">
        <w:rPr>
          <w:rFonts w:ascii="楷体_GB2312" w:eastAsia="楷体_GB2312" w:hAnsi="Calibri" w:cs="Times New Roman" w:hint="eastAsia"/>
          <w:szCs w:val="21"/>
        </w:rPr>
        <w:t>、</w:t>
      </w:r>
      <w:r w:rsidR="003F21FA" w:rsidRPr="003F21FA">
        <w:rPr>
          <w:rFonts w:ascii="楷体_GB2312" w:eastAsia="楷体_GB2312" w:hAnsi="Calibri" w:cs="Times New Roman" w:hint="eastAsia"/>
          <w:szCs w:val="21"/>
        </w:rPr>
        <w:t>食品</w:t>
      </w:r>
      <w:r w:rsidR="003F21FA">
        <w:rPr>
          <w:rFonts w:ascii="楷体_GB2312" w:eastAsia="楷体_GB2312" w:hAnsi="Calibri" w:cs="Times New Roman" w:hint="eastAsia"/>
          <w:szCs w:val="21"/>
        </w:rPr>
        <w:t>与</w:t>
      </w:r>
      <w:r w:rsidR="003F21FA" w:rsidRPr="003F21FA">
        <w:rPr>
          <w:rFonts w:ascii="楷体_GB2312" w:eastAsia="楷体_GB2312" w:hAnsi="Calibri" w:cs="Times New Roman" w:hint="eastAsia"/>
          <w:szCs w:val="21"/>
        </w:rPr>
        <w:t>环境</w:t>
      </w:r>
      <w:r w:rsidR="003F21FA">
        <w:rPr>
          <w:rFonts w:ascii="楷体_GB2312" w:eastAsia="楷体_GB2312" w:hAnsi="Calibri" w:cs="Times New Roman" w:hint="eastAsia"/>
          <w:szCs w:val="21"/>
        </w:rPr>
        <w:t>中的</w:t>
      </w:r>
      <w:r w:rsidR="003F21FA" w:rsidRPr="003F21FA">
        <w:rPr>
          <w:rFonts w:ascii="楷体_GB2312" w:eastAsia="楷体_GB2312" w:hAnsi="Calibri" w:cs="Times New Roman" w:hint="eastAsia"/>
          <w:szCs w:val="21"/>
        </w:rPr>
        <w:t>有益微生物</w:t>
      </w:r>
      <w:r w:rsidR="003F21FA">
        <w:rPr>
          <w:rFonts w:ascii="楷体_GB2312" w:eastAsia="楷体_GB2312" w:hAnsi="Calibri" w:cs="Times New Roman" w:hint="eastAsia"/>
          <w:szCs w:val="21"/>
        </w:rPr>
        <w:t>：</w:t>
      </w:r>
      <w:r w:rsidR="003F21FA" w:rsidRPr="003F21FA">
        <w:rPr>
          <w:rFonts w:ascii="楷体_GB2312" w:eastAsia="楷体_GB2312" w:hAnsi="Calibri" w:cs="Times New Roman" w:hint="eastAsia"/>
          <w:szCs w:val="21"/>
        </w:rPr>
        <w:t>安全评估和监管</w:t>
      </w:r>
      <w:r w:rsidR="003F21FA">
        <w:rPr>
          <w:rFonts w:ascii="楷体_GB2312" w:eastAsia="楷体_GB2312" w:hAnsi="Calibri" w:cs="Times New Roman" w:hint="eastAsia"/>
          <w:szCs w:val="21"/>
        </w:rPr>
        <w:t>）</w:t>
      </w:r>
      <w:r w:rsidR="00FC705C">
        <w:rPr>
          <w:rFonts w:ascii="楷体_GB2312" w:eastAsia="楷体_GB2312" w:hAnsi="Calibri" w:cs="Times New Roman" w:hint="eastAsia"/>
          <w:szCs w:val="21"/>
        </w:rPr>
        <w:t>、</w:t>
      </w:r>
      <w:r w:rsidR="00635856">
        <w:rPr>
          <w:rFonts w:ascii="楷体_GB2312" w:eastAsia="楷体_GB2312" w:hAnsi="Calibri" w:cs="Times New Roman" w:hint="eastAsia"/>
          <w:szCs w:val="21"/>
        </w:rPr>
        <w:t>⑨</w:t>
      </w:r>
      <w:r w:rsidR="00635856" w:rsidRPr="00640572">
        <w:rPr>
          <w:rFonts w:ascii="楷体_GB2312" w:eastAsia="楷体_GB2312" w:hAnsi="Calibri" w:cs="Times New Roman"/>
          <w:szCs w:val="21"/>
        </w:rPr>
        <w:t>Chemical Food Safety</w:t>
      </w:r>
      <w:r w:rsidR="008C780A">
        <w:rPr>
          <w:rFonts w:ascii="楷体_GB2312" w:eastAsia="楷体_GB2312" w:hAnsi="Calibri" w:cs="Times New Roman" w:hint="eastAsia"/>
          <w:szCs w:val="21"/>
        </w:rPr>
        <w:t>（</w:t>
      </w:r>
      <w:r w:rsidR="008C780A" w:rsidRPr="00A013B1">
        <w:rPr>
          <w:rFonts w:ascii="楷体_GB2312" w:eastAsia="楷体_GB2312" w:hAnsi="Calibri" w:cs="Times New Roman" w:hint="eastAsia"/>
          <w:szCs w:val="21"/>
        </w:rPr>
        <w:t>化工食品安全</w:t>
      </w:r>
      <w:r w:rsidR="008C780A">
        <w:rPr>
          <w:rFonts w:ascii="楷体_GB2312" w:eastAsia="楷体_GB2312" w:hAnsi="Calibri" w:cs="Times New Roman" w:hint="eastAsia"/>
          <w:szCs w:val="21"/>
        </w:rPr>
        <w:t>）</w:t>
      </w:r>
      <w:r w:rsidR="00FC705C">
        <w:rPr>
          <w:rFonts w:ascii="楷体_GB2312" w:eastAsia="楷体_GB2312" w:hAnsi="Calibri" w:cs="Times New Roman" w:hint="eastAsia"/>
          <w:szCs w:val="21"/>
        </w:rPr>
        <w:t>、</w:t>
      </w:r>
      <w:r w:rsidR="00635856">
        <w:rPr>
          <w:rFonts w:ascii="楷体_GB2312" w:eastAsia="楷体_GB2312" w:hAnsi="Calibri" w:cs="Times New Roman" w:hint="eastAsia"/>
          <w:szCs w:val="21"/>
        </w:rPr>
        <w:t>⑩</w:t>
      </w:r>
      <w:r w:rsidR="00635856" w:rsidRPr="00640572">
        <w:rPr>
          <w:rFonts w:ascii="楷体_GB2312" w:eastAsia="楷体_GB2312" w:hAnsi="Calibri" w:cs="Times New Roman"/>
          <w:szCs w:val="21"/>
        </w:rPr>
        <w:t>Radar Entomology: Observing Insect Flight and Migration</w:t>
      </w:r>
      <w:r w:rsidR="0022766F">
        <w:rPr>
          <w:rFonts w:ascii="楷体_GB2312" w:eastAsia="楷体_GB2312" w:hAnsi="Calibri" w:cs="Times New Roman" w:hint="eastAsia"/>
          <w:szCs w:val="21"/>
        </w:rPr>
        <w:t>（</w:t>
      </w:r>
      <w:r w:rsidR="0022766F" w:rsidRPr="0022766F">
        <w:rPr>
          <w:rFonts w:ascii="楷体_GB2312" w:eastAsia="楷体_GB2312" w:hAnsi="Calibri" w:cs="Times New Roman" w:hint="eastAsia"/>
          <w:szCs w:val="21"/>
        </w:rPr>
        <w:t>雷达昆虫学：观察昆虫的飞行和迁移</w:t>
      </w:r>
      <w:r w:rsidR="0022766F">
        <w:rPr>
          <w:rFonts w:ascii="楷体_GB2312" w:eastAsia="楷体_GB2312" w:hAnsi="Calibri" w:cs="Times New Roman" w:hint="eastAsia"/>
          <w:szCs w:val="21"/>
        </w:rPr>
        <w:t>）</w:t>
      </w:r>
      <w:r w:rsidR="0096688B">
        <w:rPr>
          <w:rFonts w:ascii="楷体_GB2312" w:eastAsia="楷体_GB2312" w:hAnsi="Calibri" w:cs="Times New Roman" w:hint="eastAsia"/>
          <w:szCs w:val="21"/>
        </w:rPr>
        <w:t>。</w:t>
      </w:r>
      <w:r w:rsidR="00571E60">
        <w:rPr>
          <w:rFonts w:ascii="楷体_GB2312" w:eastAsia="楷体_GB2312" w:hAnsi="Calibri" w:cs="Times New Roman" w:hint="eastAsia"/>
          <w:szCs w:val="21"/>
        </w:rPr>
        <w:t>其中</w:t>
      </w:r>
      <w:r w:rsidR="00A2769A">
        <w:rPr>
          <w:rFonts w:ascii="楷体_GB2312" w:eastAsia="楷体_GB2312" w:hAnsi="Calibri" w:cs="Times New Roman" w:hint="eastAsia"/>
          <w:szCs w:val="21"/>
        </w:rPr>
        <w:t>有四种与外教中心高校使用的</w:t>
      </w:r>
      <w:r w:rsidR="00E9285E">
        <w:rPr>
          <w:rFonts w:ascii="楷体_GB2312" w:eastAsia="楷体_GB2312" w:hAnsi="Calibri" w:cs="Times New Roman" w:hint="eastAsia"/>
          <w:szCs w:val="21"/>
        </w:rPr>
        <w:t>高点击量图书相同，主要集中在农业政策、农业市场、种子生产等领域，</w:t>
      </w:r>
      <w:r w:rsidR="00995D50">
        <w:rPr>
          <w:rFonts w:ascii="楷体_GB2312" w:eastAsia="楷体_GB2312" w:hAnsi="Calibri" w:cs="Times New Roman" w:hint="eastAsia"/>
          <w:szCs w:val="21"/>
        </w:rPr>
        <w:t>其他高点击</w:t>
      </w:r>
      <w:r w:rsidR="0073785D">
        <w:rPr>
          <w:rFonts w:ascii="楷体_GB2312" w:eastAsia="楷体_GB2312" w:hAnsi="Calibri" w:cs="Times New Roman" w:hint="eastAsia"/>
          <w:szCs w:val="21"/>
        </w:rPr>
        <w:t>率</w:t>
      </w:r>
      <w:r w:rsidR="00995D50">
        <w:rPr>
          <w:rFonts w:ascii="楷体_GB2312" w:eastAsia="楷体_GB2312" w:hAnsi="Calibri" w:cs="Times New Roman" w:hint="eastAsia"/>
          <w:szCs w:val="21"/>
        </w:rPr>
        <w:t>的图书</w:t>
      </w:r>
      <w:r w:rsidR="00E9285E">
        <w:rPr>
          <w:rFonts w:ascii="楷体_GB2312" w:eastAsia="楷体_GB2312" w:hAnsi="Calibri" w:cs="Times New Roman" w:hint="eastAsia"/>
          <w:szCs w:val="21"/>
        </w:rPr>
        <w:t>则</w:t>
      </w:r>
      <w:r w:rsidR="00120A38">
        <w:rPr>
          <w:rFonts w:ascii="楷体_GB2312" w:eastAsia="楷体_GB2312" w:hAnsi="Calibri" w:cs="Times New Roman" w:hint="eastAsia"/>
          <w:szCs w:val="21"/>
        </w:rPr>
        <w:t>主要</w:t>
      </w:r>
      <w:r w:rsidR="00E9285E">
        <w:rPr>
          <w:rFonts w:ascii="楷体_GB2312" w:eastAsia="楷体_GB2312" w:hAnsi="Calibri" w:cs="Times New Roman" w:hint="eastAsia"/>
          <w:szCs w:val="21"/>
        </w:rPr>
        <w:t>集中在农业</w:t>
      </w:r>
      <w:r w:rsidR="0042039A">
        <w:rPr>
          <w:rFonts w:ascii="楷体_GB2312" w:eastAsia="楷体_GB2312" w:hAnsi="Calibri" w:cs="Times New Roman" w:hint="eastAsia"/>
          <w:szCs w:val="21"/>
        </w:rPr>
        <w:t>科学</w:t>
      </w:r>
      <w:r w:rsidR="00E9285E">
        <w:rPr>
          <w:rFonts w:ascii="楷体_GB2312" w:eastAsia="楷体_GB2312" w:hAnsi="Calibri" w:cs="Times New Roman" w:hint="eastAsia"/>
          <w:szCs w:val="21"/>
        </w:rPr>
        <w:t>与技术</w:t>
      </w:r>
      <w:r w:rsidR="0042039A">
        <w:rPr>
          <w:rFonts w:ascii="楷体_GB2312" w:eastAsia="楷体_GB2312" w:hAnsi="Calibri" w:cs="Times New Roman" w:hint="eastAsia"/>
          <w:szCs w:val="21"/>
        </w:rPr>
        <w:t>的各个领域。</w:t>
      </w:r>
    </w:p>
    <w:p w:rsidR="00B421A7" w:rsidRPr="00357057" w:rsidRDefault="00357057" w:rsidP="00357057">
      <w:pPr>
        <w:pStyle w:val="2"/>
        <w:adjustRightInd w:val="0"/>
        <w:snapToGrid w:val="0"/>
        <w:spacing w:before="0" w:after="0" w:line="360" w:lineRule="auto"/>
      </w:pPr>
      <w:r w:rsidRPr="00357057">
        <w:rPr>
          <w:rFonts w:hint="eastAsia"/>
        </w:rPr>
        <w:t xml:space="preserve">3.3 </w:t>
      </w:r>
      <w:r w:rsidR="00C23869" w:rsidRPr="00357057">
        <w:rPr>
          <w:rFonts w:hint="eastAsia"/>
        </w:rPr>
        <w:t>中国农业大学</w:t>
      </w:r>
      <w:r w:rsidR="00C23869" w:rsidRPr="00357057">
        <w:rPr>
          <w:rFonts w:hint="eastAsia"/>
        </w:rPr>
        <w:t>CABI</w:t>
      </w:r>
      <w:r w:rsidR="00C23869" w:rsidRPr="00357057">
        <w:rPr>
          <w:rFonts w:hint="eastAsia"/>
        </w:rPr>
        <w:t>电子书与纸本书使用</w:t>
      </w:r>
      <w:r w:rsidRPr="00357057">
        <w:rPr>
          <w:rFonts w:hint="eastAsia"/>
        </w:rPr>
        <w:t>比较分析</w:t>
      </w:r>
    </w:p>
    <w:p w:rsidR="00357057" w:rsidRDefault="00CB2EF5" w:rsidP="003D60EE">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 xml:space="preserve">    </w:t>
      </w:r>
      <w:r w:rsidR="00F80D0C">
        <w:rPr>
          <w:rFonts w:ascii="楷体_GB2312" w:eastAsia="楷体_GB2312" w:hAnsi="Calibri" w:cs="Times New Roman" w:hint="eastAsia"/>
          <w:szCs w:val="21"/>
        </w:rPr>
        <w:t>外国教材中心在早期的建设中</w:t>
      </w:r>
      <w:r w:rsidR="00E97DF9">
        <w:rPr>
          <w:rFonts w:ascii="楷体_GB2312" w:eastAsia="楷体_GB2312" w:hAnsi="Calibri" w:cs="Times New Roman" w:hint="eastAsia"/>
          <w:szCs w:val="21"/>
        </w:rPr>
        <w:t>一直都是</w:t>
      </w:r>
      <w:r w:rsidR="00F80D0C">
        <w:rPr>
          <w:rFonts w:ascii="楷体_GB2312" w:eastAsia="楷体_GB2312" w:hAnsi="Calibri" w:cs="Times New Roman" w:hint="eastAsia"/>
          <w:szCs w:val="21"/>
        </w:rPr>
        <w:t>引进印刷型原版教材</w:t>
      </w:r>
      <w:r w:rsidR="00266BAF">
        <w:rPr>
          <w:rFonts w:ascii="楷体_GB2312" w:eastAsia="楷体_GB2312" w:hAnsi="Calibri" w:cs="Times New Roman" w:hint="eastAsia"/>
          <w:szCs w:val="21"/>
        </w:rPr>
        <w:t>，</w:t>
      </w:r>
      <w:r w:rsidR="00F15411">
        <w:rPr>
          <w:rFonts w:ascii="楷体_GB2312" w:eastAsia="楷体_GB2312" w:hAnsi="Calibri" w:cs="Times New Roman" w:hint="eastAsia"/>
          <w:szCs w:val="21"/>
        </w:rPr>
        <w:t>在教材的调研、评价、筛选以及引进后的教材宣传与服务系列工作中，已经形成了一套成熟而完善的流程；</w:t>
      </w:r>
      <w:r w:rsidR="00266BAF">
        <w:rPr>
          <w:rFonts w:ascii="楷体_GB2312" w:eastAsia="楷体_GB2312" w:hAnsi="Calibri" w:cs="Times New Roman" w:hint="eastAsia"/>
          <w:szCs w:val="21"/>
        </w:rPr>
        <w:t>而电子图书的迅速发展则给</w:t>
      </w:r>
      <w:r w:rsidR="00F80D0C">
        <w:rPr>
          <w:rFonts w:ascii="楷体_GB2312" w:eastAsia="楷体_GB2312" w:hAnsi="Calibri" w:cs="Times New Roman" w:hint="eastAsia"/>
          <w:szCs w:val="21"/>
        </w:rPr>
        <w:t>外教中心的建设与发展</w:t>
      </w:r>
      <w:r w:rsidR="00266BAF">
        <w:rPr>
          <w:rFonts w:ascii="楷体_GB2312" w:eastAsia="楷体_GB2312" w:hAnsi="Calibri" w:cs="Times New Roman" w:hint="eastAsia"/>
          <w:szCs w:val="21"/>
        </w:rPr>
        <w:t>带来了新的契机</w:t>
      </w:r>
      <w:r w:rsidR="00F15411">
        <w:rPr>
          <w:rFonts w:ascii="楷体_GB2312" w:eastAsia="楷体_GB2312" w:hAnsi="Calibri" w:cs="Times New Roman" w:hint="eastAsia"/>
          <w:szCs w:val="21"/>
        </w:rPr>
        <w:t>与挑战</w:t>
      </w:r>
      <w:r w:rsidR="00266BAF">
        <w:rPr>
          <w:rFonts w:ascii="楷体_GB2312" w:eastAsia="楷体_GB2312" w:hAnsi="Calibri" w:cs="Times New Roman" w:hint="eastAsia"/>
          <w:szCs w:val="21"/>
        </w:rPr>
        <w:t>。在保障原有教材引进工作正常进行的基础上，外国教材中心</w:t>
      </w:r>
      <w:r w:rsidR="00F15411">
        <w:rPr>
          <w:rFonts w:ascii="楷体_GB2312" w:eastAsia="楷体_GB2312" w:hAnsi="Calibri" w:cs="Times New Roman" w:hint="eastAsia"/>
          <w:szCs w:val="21"/>
        </w:rPr>
        <w:t>正逐步探讨并尝试原版电子图书的引进工作，同时针对电子图书的特点积极开展相应的调研</w:t>
      </w:r>
      <w:r w:rsidR="00344D14">
        <w:rPr>
          <w:rFonts w:ascii="楷体_GB2312" w:eastAsia="楷体_GB2312" w:hAnsi="Calibri" w:cs="Times New Roman" w:hint="eastAsia"/>
          <w:szCs w:val="21"/>
        </w:rPr>
        <w:t>分析</w:t>
      </w:r>
      <w:r w:rsidR="00F15411">
        <w:rPr>
          <w:rFonts w:ascii="楷体_GB2312" w:eastAsia="楷体_GB2312" w:hAnsi="Calibri" w:cs="Times New Roman" w:hint="eastAsia"/>
          <w:szCs w:val="21"/>
        </w:rPr>
        <w:t>与</w:t>
      </w:r>
      <w:r w:rsidR="00344D14">
        <w:rPr>
          <w:rFonts w:ascii="楷体_GB2312" w:eastAsia="楷体_GB2312" w:hAnsi="Calibri" w:cs="Times New Roman" w:hint="eastAsia"/>
          <w:szCs w:val="21"/>
        </w:rPr>
        <w:t>宣传</w:t>
      </w:r>
      <w:r w:rsidR="00F15411">
        <w:rPr>
          <w:rFonts w:ascii="楷体_GB2312" w:eastAsia="楷体_GB2312" w:hAnsi="Calibri" w:cs="Times New Roman" w:hint="eastAsia"/>
          <w:szCs w:val="21"/>
        </w:rPr>
        <w:t>服务工作。</w:t>
      </w:r>
    </w:p>
    <w:p w:rsidR="00B421A7" w:rsidRPr="00691CCD" w:rsidRDefault="00691CCD" w:rsidP="00691CCD">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为了更好地了解用户对电子图书的需求与认知程度，为科学地引进原版电子图书提供决策依据，本研究专门以中国农业大学为例，对图书馆收藏的CABI出版社出版的印刷型图书与引进的CABI电子图书进行利用率比对分析。</w:t>
      </w:r>
    </w:p>
    <w:tbl>
      <w:tblPr>
        <w:tblStyle w:val="a8"/>
        <w:tblW w:w="8529" w:type="dxa"/>
        <w:tblLook w:val="04A0" w:firstRow="1" w:lastRow="0" w:firstColumn="1" w:lastColumn="0" w:noHBand="0" w:noVBand="1"/>
      </w:tblPr>
      <w:tblGrid>
        <w:gridCol w:w="1526"/>
        <w:gridCol w:w="2551"/>
        <w:gridCol w:w="1134"/>
        <w:gridCol w:w="1659"/>
        <w:gridCol w:w="1659"/>
      </w:tblGrid>
      <w:tr w:rsidR="00E17C59" w:rsidTr="00E17C59">
        <w:trPr>
          <w:trHeight w:val="605"/>
        </w:trPr>
        <w:tc>
          <w:tcPr>
            <w:tcW w:w="1526" w:type="dxa"/>
            <w:vAlign w:val="center"/>
          </w:tcPr>
          <w:p w:rsidR="00844376" w:rsidRPr="00E17C59"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sidRPr="00E17C59">
              <w:rPr>
                <w:rFonts w:ascii="楷体_GB2312" w:eastAsia="楷体_GB2312" w:hAnsi="Calibri" w:cs="Times New Roman" w:hint="eastAsia"/>
                <w:bCs/>
                <w:szCs w:val="21"/>
              </w:rPr>
              <w:t>文献类型</w:t>
            </w:r>
          </w:p>
        </w:tc>
        <w:tc>
          <w:tcPr>
            <w:tcW w:w="2551" w:type="dxa"/>
            <w:vAlign w:val="center"/>
          </w:tcPr>
          <w:p w:rsidR="00844376" w:rsidRPr="00E17C59"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sidRPr="00E17C59">
              <w:rPr>
                <w:rFonts w:ascii="楷体_GB2312" w:eastAsia="楷体_GB2312" w:hAnsi="Calibri" w:cs="Times New Roman" w:hint="eastAsia"/>
                <w:bCs/>
                <w:szCs w:val="21"/>
              </w:rPr>
              <w:t>统计时长</w:t>
            </w:r>
          </w:p>
        </w:tc>
        <w:tc>
          <w:tcPr>
            <w:tcW w:w="1134" w:type="dxa"/>
            <w:vAlign w:val="center"/>
          </w:tcPr>
          <w:p w:rsidR="00E17C59" w:rsidRPr="00E17C59"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sidRPr="00E17C59">
              <w:rPr>
                <w:rFonts w:ascii="楷体_GB2312" w:eastAsia="楷体_GB2312" w:hAnsi="Calibri" w:cs="Times New Roman" w:hint="eastAsia"/>
                <w:bCs/>
                <w:szCs w:val="21"/>
              </w:rPr>
              <w:t>馆藏总量</w:t>
            </w:r>
          </w:p>
          <w:p w:rsidR="00844376" w:rsidRPr="00E17C59"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sidRPr="00E17C59">
              <w:rPr>
                <w:rFonts w:ascii="楷体_GB2312" w:eastAsia="楷体_GB2312" w:hAnsi="Calibri" w:cs="Times New Roman" w:hint="eastAsia"/>
                <w:bCs/>
                <w:szCs w:val="21"/>
              </w:rPr>
              <w:t>（种数）</w:t>
            </w:r>
          </w:p>
        </w:tc>
        <w:tc>
          <w:tcPr>
            <w:tcW w:w="1659" w:type="dxa"/>
            <w:vAlign w:val="center"/>
          </w:tcPr>
          <w:p w:rsidR="00E17C59" w:rsidRDefault="00E17C59" w:rsidP="00E17C59">
            <w:pPr>
              <w:autoSpaceDE w:val="0"/>
              <w:autoSpaceDN w:val="0"/>
              <w:adjustRightInd w:val="0"/>
              <w:snapToGrid w:val="0"/>
              <w:spacing w:line="360" w:lineRule="auto"/>
              <w:jc w:val="center"/>
              <w:rPr>
                <w:rFonts w:ascii="楷体_GB2312" w:eastAsia="楷体_GB2312" w:hAnsi="Calibri" w:cs="Times New Roman"/>
                <w:bCs/>
                <w:szCs w:val="21"/>
              </w:rPr>
            </w:pPr>
            <w:r w:rsidRPr="00E17C59">
              <w:rPr>
                <w:rFonts w:ascii="楷体_GB2312" w:eastAsia="楷体_GB2312" w:hAnsi="Calibri" w:cs="Times New Roman" w:hint="eastAsia"/>
                <w:bCs/>
                <w:szCs w:val="21"/>
              </w:rPr>
              <w:t>借阅数量</w:t>
            </w:r>
          </w:p>
          <w:p w:rsidR="00844376" w:rsidRPr="00E17C59"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sidRPr="00E17C59">
              <w:rPr>
                <w:rFonts w:ascii="楷体_GB2312" w:eastAsia="楷体_GB2312" w:hAnsi="Calibri" w:cs="Times New Roman" w:hint="eastAsia"/>
                <w:bCs/>
                <w:szCs w:val="21"/>
              </w:rPr>
              <w:t>（种数）/占比</w:t>
            </w:r>
          </w:p>
        </w:tc>
        <w:tc>
          <w:tcPr>
            <w:tcW w:w="1659" w:type="dxa"/>
            <w:vAlign w:val="center"/>
          </w:tcPr>
          <w:p w:rsidR="00E17C59" w:rsidRPr="00E17C59" w:rsidRDefault="00E17C59" w:rsidP="00E17C59">
            <w:pPr>
              <w:autoSpaceDE w:val="0"/>
              <w:autoSpaceDN w:val="0"/>
              <w:adjustRightInd w:val="0"/>
              <w:snapToGrid w:val="0"/>
              <w:spacing w:line="360" w:lineRule="auto"/>
              <w:jc w:val="center"/>
              <w:rPr>
                <w:rFonts w:ascii="楷体_GB2312" w:eastAsia="楷体_GB2312" w:hAnsi="Calibri" w:cs="Times New Roman"/>
                <w:bCs/>
                <w:szCs w:val="21"/>
              </w:rPr>
            </w:pPr>
            <w:r w:rsidRPr="00E17C59">
              <w:rPr>
                <w:rFonts w:ascii="楷体_GB2312" w:eastAsia="楷体_GB2312" w:hAnsi="Calibri" w:cs="Times New Roman" w:hint="eastAsia"/>
                <w:bCs/>
                <w:szCs w:val="21"/>
              </w:rPr>
              <w:t>借阅数量</w:t>
            </w:r>
          </w:p>
          <w:p w:rsidR="00844376" w:rsidRPr="00E17C59"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sidRPr="00E17C59">
              <w:rPr>
                <w:rFonts w:ascii="楷体_GB2312" w:eastAsia="楷体_GB2312" w:hAnsi="Calibri" w:cs="Times New Roman" w:hint="eastAsia"/>
                <w:bCs/>
                <w:szCs w:val="21"/>
              </w:rPr>
              <w:t>（册数）/占比</w:t>
            </w:r>
          </w:p>
        </w:tc>
      </w:tr>
      <w:tr w:rsidR="00E17C59" w:rsidTr="00E17C59">
        <w:trPr>
          <w:trHeight w:val="605"/>
        </w:trPr>
        <w:tc>
          <w:tcPr>
            <w:tcW w:w="1526" w:type="dxa"/>
            <w:vAlign w:val="center"/>
          </w:tcPr>
          <w:p w:rsidR="00844376" w:rsidRPr="00E17C59" w:rsidRDefault="00E17C59" w:rsidP="00E17C59">
            <w:pPr>
              <w:autoSpaceDE w:val="0"/>
              <w:autoSpaceDN w:val="0"/>
              <w:adjustRightInd w:val="0"/>
              <w:snapToGrid w:val="0"/>
              <w:spacing w:line="360" w:lineRule="auto"/>
              <w:jc w:val="center"/>
              <w:rPr>
                <w:rFonts w:ascii="楷体_GB2312" w:eastAsia="楷体_GB2312" w:hAnsi="Calibri" w:cs="Times New Roman"/>
                <w:bCs/>
                <w:szCs w:val="21"/>
              </w:rPr>
            </w:pPr>
            <w:r w:rsidRPr="00E17C59">
              <w:rPr>
                <w:rFonts w:ascii="楷体_GB2312" w:eastAsia="楷体_GB2312" w:hAnsi="Calibri" w:cs="Times New Roman" w:hint="eastAsia"/>
                <w:bCs/>
                <w:szCs w:val="21"/>
              </w:rPr>
              <w:t>CABI电子图书</w:t>
            </w:r>
          </w:p>
        </w:tc>
        <w:tc>
          <w:tcPr>
            <w:tcW w:w="2551" w:type="dxa"/>
            <w:vAlign w:val="center"/>
          </w:tcPr>
          <w:p w:rsidR="00844376" w:rsidRDefault="00E17C59" w:rsidP="003D60EE">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2014年12月-2015年11月</w:t>
            </w:r>
          </w:p>
          <w:p w:rsidR="00F61F0C" w:rsidRDefault="00F61F0C" w:rsidP="00F61F0C">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lastRenderedPageBreak/>
              <w:t>（一年）</w:t>
            </w:r>
          </w:p>
        </w:tc>
        <w:tc>
          <w:tcPr>
            <w:tcW w:w="1134" w:type="dxa"/>
            <w:vAlign w:val="center"/>
          </w:tcPr>
          <w:p w:rsidR="00844376"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lastRenderedPageBreak/>
              <w:t>138</w:t>
            </w:r>
          </w:p>
        </w:tc>
        <w:tc>
          <w:tcPr>
            <w:tcW w:w="1659" w:type="dxa"/>
            <w:vAlign w:val="center"/>
          </w:tcPr>
          <w:p w:rsidR="00844376"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25</w:t>
            </w:r>
          </w:p>
          <w:p w:rsidR="00F61F0C" w:rsidRDefault="00F61F0C"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lastRenderedPageBreak/>
              <w:t>18.12%</w:t>
            </w:r>
          </w:p>
        </w:tc>
        <w:tc>
          <w:tcPr>
            <w:tcW w:w="1659" w:type="dxa"/>
            <w:vAlign w:val="center"/>
          </w:tcPr>
          <w:p w:rsidR="00844376" w:rsidRDefault="00E17C5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lastRenderedPageBreak/>
              <w:t>71</w:t>
            </w:r>
          </w:p>
          <w:p w:rsidR="009B3B45" w:rsidRDefault="009B3B45"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lastRenderedPageBreak/>
              <w:t>51.45%</w:t>
            </w:r>
          </w:p>
        </w:tc>
      </w:tr>
      <w:tr w:rsidR="00934D69" w:rsidTr="00E17C59">
        <w:trPr>
          <w:trHeight w:val="605"/>
        </w:trPr>
        <w:tc>
          <w:tcPr>
            <w:tcW w:w="1526" w:type="dxa"/>
            <w:vMerge w:val="restart"/>
            <w:vAlign w:val="center"/>
          </w:tcPr>
          <w:p w:rsidR="00934D69" w:rsidRPr="00E17C59" w:rsidRDefault="00934D69" w:rsidP="00E17C59">
            <w:pPr>
              <w:autoSpaceDE w:val="0"/>
              <w:autoSpaceDN w:val="0"/>
              <w:adjustRightInd w:val="0"/>
              <w:snapToGrid w:val="0"/>
              <w:spacing w:line="360" w:lineRule="auto"/>
              <w:jc w:val="center"/>
              <w:rPr>
                <w:rFonts w:ascii="楷体_GB2312" w:eastAsia="楷体_GB2312" w:hAnsi="Calibri" w:cs="Times New Roman"/>
                <w:bCs/>
                <w:szCs w:val="21"/>
              </w:rPr>
            </w:pPr>
            <w:r w:rsidRPr="00E17C59">
              <w:rPr>
                <w:rFonts w:ascii="楷体_GB2312" w:eastAsia="楷体_GB2312" w:hAnsi="Calibri" w:cs="Times New Roman" w:hint="eastAsia"/>
                <w:bCs/>
                <w:szCs w:val="21"/>
              </w:rPr>
              <w:lastRenderedPageBreak/>
              <w:t>CABI纸本图书</w:t>
            </w:r>
          </w:p>
        </w:tc>
        <w:tc>
          <w:tcPr>
            <w:tcW w:w="2551" w:type="dxa"/>
            <w:vAlign w:val="center"/>
          </w:tcPr>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2011年-2016年</w:t>
            </w:r>
          </w:p>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（五年）</w:t>
            </w:r>
          </w:p>
        </w:tc>
        <w:tc>
          <w:tcPr>
            <w:tcW w:w="1134" w:type="dxa"/>
            <w:vAlign w:val="center"/>
          </w:tcPr>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412</w:t>
            </w:r>
          </w:p>
        </w:tc>
        <w:tc>
          <w:tcPr>
            <w:tcW w:w="1659" w:type="dxa"/>
            <w:vAlign w:val="center"/>
          </w:tcPr>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126</w:t>
            </w:r>
          </w:p>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30.58%</w:t>
            </w:r>
          </w:p>
        </w:tc>
        <w:tc>
          <w:tcPr>
            <w:tcW w:w="1659" w:type="dxa"/>
            <w:vAlign w:val="center"/>
          </w:tcPr>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286</w:t>
            </w:r>
          </w:p>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69.42%</w:t>
            </w:r>
          </w:p>
        </w:tc>
      </w:tr>
      <w:tr w:rsidR="00934D69" w:rsidTr="00E17C59">
        <w:trPr>
          <w:trHeight w:val="605"/>
        </w:trPr>
        <w:tc>
          <w:tcPr>
            <w:tcW w:w="1526" w:type="dxa"/>
            <w:vMerge/>
            <w:vAlign w:val="center"/>
          </w:tcPr>
          <w:p w:rsidR="00934D69" w:rsidRPr="00E17C59" w:rsidRDefault="00934D69" w:rsidP="00E17C59">
            <w:pPr>
              <w:autoSpaceDE w:val="0"/>
              <w:autoSpaceDN w:val="0"/>
              <w:adjustRightInd w:val="0"/>
              <w:snapToGrid w:val="0"/>
              <w:spacing w:line="360" w:lineRule="auto"/>
              <w:jc w:val="center"/>
              <w:rPr>
                <w:rFonts w:ascii="楷体_GB2312" w:eastAsia="楷体_GB2312" w:hAnsi="Calibri" w:cs="Times New Roman"/>
                <w:bCs/>
                <w:szCs w:val="21"/>
              </w:rPr>
            </w:pPr>
          </w:p>
        </w:tc>
        <w:tc>
          <w:tcPr>
            <w:tcW w:w="2551" w:type="dxa"/>
            <w:vAlign w:val="center"/>
          </w:tcPr>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年度平均</w:t>
            </w:r>
          </w:p>
        </w:tc>
        <w:tc>
          <w:tcPr>
            <w:tcW w:w="1134" w:type="dxa"/>
            <w:vAlign w:val="center"/>
          </w:tcPr>
          <w:p w:rsidR="00934D69" w:rsidRDefault="00934D69" w:rsidP="00E17C59">
            <w:pPr>
              <w:autoSpaceDE w:val="0"/>
              <w:autoSpaceDN w:val="0"/>
              <w:adjustRightInd w:val="0"/>
              <w:snapToGrid w:val="0"/>
              <w:spacing w:line="360" w:lineRule="auto"/>
              <w:jc w:val="center"/>
              <w:rPr>
                <w:rFonts w:ascii="楷体_GB2312" w:eastAsia="楷体_GB2312" w:hAnsi="Calibri" w:cs="Times New Roman"/>
                <w:szCs w:val="21"/>
              </w:rPr>
            </w:pPr>
          </w:p>
        </w:tc>
        <w:tc>
          <w:tcPr>
            <w:tcW w:w="1659" w:type="dxa"/>
            <w:vAlign w:val="center"/>
          </w:tcPr>
          <w:p w:rsidR="00934D69" w:rsidRDefault="00E8424E"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25.2</w:t>
            </w:r>
          </w:p>
          <w:p w:rsidR="00E8424E" w:rsidRDefault="00E8424E"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6.12%</w:t>
            </w:r>
          </w:p>
        </w:tc>
        <w:tc>
          <w:tcPr>
            <w:tcW w:w="1659" w:type="dxa"/>
            <w:vAlign w:val="center"/>
          </w:tcPr>
          <w:p w:rsidR="00934D69" w:rsidRDefault="00E8424E"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57.2</w:t>
            </w:r>
          </w:p>
          <w:p w:rsidR="00E8424E" w:rsidRDefault="00E8424E" w:rsidP="00E17C59">
            <w:pPr>
              <w:autoSpaceDE w:val="0"/>
              <w:autoSpaceDN w:val="0"/>
              <w:adjustRightInd w:val="0"/>
              <w:snapToGrid w:val="0"/>
              <w:spacing w:line="360" w:lineRule="auto"/>
              <w:jc w:val="center"/>
              <w:rPr>
                <w:rFonts w:ascii="楷体_GB2312" w:eastAsia="楷体_GB2312" w:hAnsi="Calibri" w:cs="Times New Roman"/>
                <w:szCs w:val="21"/>
              </w:rPr>
            </w:pPr>
            <w:r>
              <w:rPr>
                <w:rFonts w:ascii="楷体_GB2312" w:eastAsia="楷体_GB2312" w:hAnsi="Calibri" w:cs="Times New Roman" w:hint="eastAsia"/>
                <w:szCs w:val="21"/>
              </w:rPr>
              <w:t>13.88%</w:t>
            </w:r>
          </w:p>
        </w:tc>
      </w:tr>
    </w:tbl>
    <w:p w:rsidR="00C23E4B" w:rsidRDefault="005C1004" w:rsidP="00C23E4B">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从上图的统计中可以看到，中国农业大学外国教材中心引进的138种CABI电子图书，在为期一年的时间里，有25种图书被点击阅读，总阅读次数为71次，与图书总量的占比分别为18.12%、51.45%。同时，中国农业大学图书馆一直在收藏CABI出版的印刷版图书，现有馆藏412种，最早出版时间为1972</w:t>
      </w:r>
      <w:r w:rsidR="00E43B6F">
        <w:rPr>
          <w:rFonts w:ascii="楷体_GB2312" w:eastAsia="楷体_GB2312" w:hAnsi="Calibri" w:cs="Times New Roman" w:hint="eastAsia"/>
          <w:szCs w:val="21"/>
        </w:rPr>
        <w:t>年；统计这些印刷版图书近五年</w:t>
      </w:r>
      <w:r w:rsidR="00F92915">
        <w:rPr>
          <w:rFonts w:ascii="楷体_GB2312" w:eastAsia="楷体_GB2312" w:hAnsi="Calibri" w:cs="Times New Roman" w:hint="eastAsia"/>
          <w:szCs w:val="21"/>
        </w:rPr>
        <w:t>的借阅频次，借阅种数为126种，借阅册数为286册，占比分别为30.58%、69.42%。</w:t>
      </w:r>
    </w:p>
    <w:p w:rsidR="00B421A7" w:rsidRDefault="003066DA" w:rsidP="00C23E4B">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将</w:t>
      </w:r>
      <w:r w:rsidR="00E8424E">
        <w:rPr>
          <w:rFonts w:ascii="楷体_GB2312" w:eastAsia="楷体_GB2312" w:hAnsi="Calibri" w:cs="Times New Roman" w:hint="eastAsia"/>
          <w:szCs w:val="21"/>
        </w:rPr>
        <w:t>电子图书与纸本图书年度借阅数量与馆藏总量</w:t>
      </w:r>
      <w:r w:rsidR="00C23E4B">
        <w:rPr>
          <w:rFonts w:ascii="楷体_GB2312" w:eastAsia="楷体_GB2312" w:hAnsi="Calibri" w:cs="Times New Roman" w:hint="eastAsia"/>
          <w:szCs w:val="21"/>
        </w:rPr>
        <w:t>的</w:t>
      </w:r>
      <w:r w:rsidR="00E8424E">
        <w:rPr>
          <w:rFonts w:ascii="楷体_GB2312" w:eastAsia="楷体_GB2312" w:hAnsi="Calibri" w:cs="Times New Roman" w:hint="eastAsia"/>
          <w:szCs w:val="21"/>
        </w:rPr>
        <w:t>占比</w:t>
      </w:r>
      <w:r>
        <w:rPr>
          <w:rFonts w:ascii="楷体_GB2312" w:eastAsia="楷体_GB2312" w:hAnsi="Calibri" w:cs="Times New Roman" w:hint="eastAsia"/>
          <w:szCs w:val="21"/>
        </w:rPr>
        <w:t>进行</w:t>
      </w:r>
      <w:r w:rsidR="00BB6D3E">
        <w:rPr>
          <w:rFonts w:ascii="楷体_GB2312" w:eastAsia="楷体_GB2312" w:hAnsi="Calibri" w:cs="Times New Roman" w:hint="eastAsia"/>
          <w:szCs w:val="21"/>
        </w:rPr>
        <w:t>比较</w:t>
      </w:r>
      <w:r>
        <w:rPr>
          <w:rFonts w:ascii="楷体_GB2312" w:eastAsia="楷体_GB2312" w:hAnsi="Calibri" w:cs="Times New Roman" w:hint="eastAsia"/>
          <w:szCs w:val="21"/>
        </w:rPr>
        <w:t>，</w:t>
      </w:r>
      <w:r w:rsidR="00E8424E">
        <w:rPr>
          <w:rFonts w:ascii="楷体_GB2312" w:eastAsia="楷体_GB2312" w:hAnsi="Calibri" w:cs="Times New Roman" w:hint="eastAsia"/>
          <w:szCs w:val="21"/>
        </w:rPr>
        <w:t>电子图书的利用率显著高于纸本图书</w:t>
      </w:r>
      <w:r w:rsidR="006759C2">
        <w:rPr>
          <w:rFonts w:ascii="楷体_GB2312" w:eastAsia="楷体_GB2312" w:hAnsi="Calibri" w:cs="Times New Roman" w:hint="eastAsia"/>
          <w:szCs w:val="21"/>
        </w:rPr>
        <w:t>。</w:t>
      </w:r>
      <w:r w:rsidR="00CA202E">
        <w:rPr>
          <w:rFonts w:ascii="楷体_GB2312" w:eastAsia="楷体_GB2312" w:hAnsi="Calibri" w:cs="Times New Roman" w:hint="eastAsia"/>
          <w:szCs w:val="21"/>
        </w:rPr>
        <w:t>电子图书</w:t>
      </w:r>
      <w:r w:rsidR="00422837">
        <w:rPr>
          <w:rFonts w:ascii="楷体_GB2312" w:eastAsia="楷体_GB2312" w:hAnsi="Calibri" w:cs="Times New Roman" w:hint="eastAsia"/>
          <w:szCs w:val="21"/>
        </w:rPr>
        <w:t>最大的特点</w:t>
      </w:r>
      <w:r w:rsidR="00A30005">
        <w:rPr>
          <w:rFonts w:ascii="楷体_GB2312" w:eastAsia="楷体_GB2312" w:hAnsi="Calibri" w:cs="Times New Roman" w:hint="eastAsia"/>
          <w:szCs w:val="21"/>
        </w:rPr>
        <w:t>就是在引进、管理及使用等方面都非常方便迅捷</w:t>
      </w:r>
      <w:r w:rsidR="00AB019B">
        <w:rPr>
          <w:rFonts w:ascii="楷体_GB2312" w:eastAsia="楷体_GB2312" w:hAnsi="Calibri" w:cs="Times New Roman" w:hint="eastAsia"/>
          <w:szCs w:val="21"/>
        </w:rPr>
        <w:t>。所以在引进图书的内容能够保障的前提下，选择引进电子图书的使用效果</w:t>
      </w:r>
      <w:r w:rsidR="004F7B22">
        <w:rPr>
          <w:rFonts w:ascii="楷体_GB2312" w:eastAsia="楷体_GB2312" w:hAnsi="Calibri" w:cs="Times New Roman" w:hint="eastAsia"/>
          <w:szCs w:val="21"/>
        </w:rPr>
        <w:t>无疑要明显</w:t>
      </w:r>
      <w:r w:rsidR="00AB019B">
        <w:rPr>
          <w:rFonts w:ascii="楷体_GB2312" w:eastAsia="楷体_GB2312" w:hAnsi="Calibri" w:cs="Times New Roman" w:hint="eastAsia"/>
          <w:szCs w:val="21"/>
        </w:rPr>
        <w:t>优于印刷版图书。</w:t>
      </w:r>
    </w:p>
    <w:p w:rsidR="00B421A7" w:rsidRDefault="00B421A7" w:rsidP="003D60EE">
      <w:pPr>
        <w:autoSpaceDE w:val="0"/>
        <w:autoSpaceDN w:val="0"/>
        <w:adjustRightInd w:val="0"/>
        <w:snapToGrid w:val="0"/>
        <w:spacing w:line="360" w:lineRule="auto"/>
        <w:rPr>
          <w:rFonts w:ascii="Times New Roman" w:eastAsia="宋体" w:hAnsi="Times New Roman" w:cs="Times New Roman"/>
          <w:b/>
          <w:bCs/>
          <w:kern w:val="44"/>
          <w:sz w:val="36"/>
          <w:szCs w:val="44"/>
        </w:rPr>
      </w:pPr>
      <w:r w:rsidRPr="00B421A7">
        <w:rPr>
          <w:rFonts w:ascii="Times New Roman" w:eastAsia="宋体" w:hAnsi="Times New Roman" w:cs="Times New Roman" w:hint="eastAsia"/>
          <w:b/>
          <w:bCs/>
          <w:kern w:val="44"/>
          <w:sz w:val="36"/>
          <w:szCs w:val="44"/>
        </w:rPr>
        <w:t>4</w:t>
      </w:r>
      <w:r w:rsidRPr="00B421A7">
        <w:rPr>
          <w:rFonts w:ascii="Times New Roman" w:eastAsia="宋体" w:hAnsi="Times New Roman" w:cs="Times New Roman" w:hint="eastAsia"/>
          <w:b/>
          <w:bCs/>
          <w:kern w:val="44"/>
          <w:sz w:val="36"/>
          <w:szCs w:val="44"/>
        </w:rPr>
        <w:t>．总结与建议</w:t>
      </w:r>
    </w:p>
    <w:p w:rsidR="00EA47DD" w:rsidRDefault="00A560DE" w:rsidP="004A4ED8">
      <w:pPr>
        <w:autoSpaceDE w:val="0"/>
        <w:autoSpaceDN w:val="0"/>
        <w:adjustRightInd w:val="0"/>
        <w:snapToGrid w:val="0"/>
        <w:spacing w:line="360" w:lineRule="auto"/>
        <w:ind w:firstLineChars="200" w:firstLine="420"/>
        <w:rPr>
          <w:rFonts w:ascii="楷体_GB2312" w:eastAsia="楷体_GB2312" w:hAnsi="Calibri" w:cs="Times New Roman"/>
          <w:szCs w:val="21"/>
        </w:rPr>
      </w:pPr>
      <w:r>
        <w:rPr>
          <w:rFonts w:ascii="楷体_GB2312" w:eastAsia="楷体_GB2312" w:hAnsi="Calibri" w:cs="Times New Roman" w:hint="eastAsia"/>
          <w:szCs w:val="21"/>
        </w:rPr>
        <w:t>随着网络通讯技术的飞速发展，</w:t>
      </w:r>
      <w:r w:rsidR="00756005">
        <w:rPr>
          <w:rFonts w:ascii="楷体_GB2312" w:eastAsia="楷体_GB2312" w:hAnsi="Calibri" w:cs="Times New Roman" w:hint="eastAsia"/>
          <w:szCs w:val="21"/>
        </w:rPr>
        <w:t>我国</w:t>
      </w:r>
      <w:r w:rsidR="00E62374">
        <w:rPr>
          <w:rFonts w:ascii="楷体_GB2312" w:eastAsia="楷体_GB2312" w:hAnsi="Calibri" w:cs="Times New Roman" w:hint="eastAsia"/>
          <w:szCs w:val="21"/>
        </w:rPr>
        <w:t>农</w:t>
      </w:r>
      <w:r w:rsidR="00756005">
        <w:rPr>
          <w:rFonts w:ascii="楷体_GB2312" w:eastAsia="楷体_GB2312" w:hAnsi="Calibri" w:cs="Times New Roman" w:hint="eastAsia"/>
          <w:szCs w:val="21"/>
        </w:rPr>
        <w:t>业</w:t>
      </w:r>
      <w:r w:rsidR="00E62374">
        <w:rPr>
          <w:rFonts w:ascii="楷体_GB2312" w:eastAsia="楷体_GB2312" w:hAnsi="Calibri" w:cs="Times New Roman" w:hint="eastAsia"/>
          <w:szCs w:val="21"/>
        </w:rPr>
        <w:t>高校</w:t>
      </w:r>
      <w:r w:rsidR="00D86FF1">
        <w:rPr>
          <w:rFonts w:ascii="楷体_GB2312" w:eastAsia="楷体_GB2312" w:hAnsi="Calibri" w:cs="Times New Roman" w:hint="eastAsia"/>
          <w:szCs w:val="21"/>
        </w:rPr>
        <w:t>师生</w:t>
      </w:r>
      <w:r w:rsidR="00E62374">
        <w:rPr>
          <w:rFonts w:ascii="楷体_GB2312" w:eastAsia="楷体_GB2312" w:hAnsi="Calibri" w:cs="Times New Roman" w:hint="eastAsia"/>
          <w:szCs w:val="21"/>
        </w:rPr>
        <w:t>对于原版电子图书的需求</w:t>
      </w:r>
      <w:r w:rsidR="00F50143">
        <w:rPr>
          <w:rFonts w:ascii="楷体_GB2312" w:eastAsia="楷体_GB2312" w:hAnsi="Calibri" w:cs="Times New Roman" w:hint="eastAsia"/>
          <w:szCs w:val="21"/>
        </w:rPr>
        <w:t>已呈现</w:t>
      </w:r>
      <w:r w:rsidR="00E4528D">
        <w:rPr>
          <w:rFonts w:ascii="楷体_GB2312" w:eastAsia="楷体_GB2312" w:hAnsi="Calibri" w:cs="Times New Roman" w:hint="eastAsia"/>
          <w:szCs w:val="21"/>
        </w:rPr>
        <w:t>出</w:t>
      </w:r>
      <w:r w:rsidR="00E62374">
        <w:rPr>
          <w:rFonts w:ascii="楷体_GB2312" w:eastAsia="楷体_GB2312" w:hAnsi="Calibri" w:cs="Times New Roman" w:hint="eastAsia"/>
          <w:szCs w:val="21"/>
        </w:rPr>
        <w:t>日益强烈</w:t>
      </w:r>
      <w:r>
        <w:rPr>
          <w:rFonts w:ascii="楷体_GB2312" w:eastAsia="楷体_GB2312" w:hAnsi="Calibri" w:cs="Times New Roman" w:hint="eastAsia"/>
          <w:szCs w:val="21"/>
        </w:rPr>
        <w:t>的趋势</w:t>
      </w:r>
      <w:r w:rsidR="009300C4">
        <w:rPr>
          <w:rFonts w:ascii="楷体_GB2312" w:eastAsia="楷体_GB2312" w:hAnsi="Calibri" w:cs="Times New Roman" w:hint="eastAsia"/>
          <w:szCs w:val="21"/>
        </w:rPr>
        <w:t>，</w:t>
      </w:r>
      <w:r w:rsidR="00E70629">
        <w:rPr>
          <w:rFonts w:ascii="楷体_GB2312" w:eastAsia="楷体_GB2312" w:hAnsi="Calibri" w:cs="Times New Roman" w:hint="eastAsia"/>
          <w:szCs w:val="21"/>
        </w:rPr>
        <w:t>逐渐</w:t>
      </w:r>
      <w:r w:rsidR="00FB408D">
        <w:rPr>
          <w:rFonts w:ascii="楷体_GB2312" w:eastAsia="楷体_GB2312" w:hAnsi="Calibri" w:cs="Times New Roman" w:hint="eastAsia"/>
          <w:szCs w:val="21"/>
        </w:rPr>
        <w:t>开展并加强原版电子图书/教材的</w:t>
      </w:r>
      <w:r w:rsidR="004A4ED8">
        <w:rPr>
          <w:rFonts w:ascii="楷体_GB2312" w:eastAsia="楷体_GB2312" w:hAnsi="Calibri" w:cs="Times New Roman" w:hint="eastAsia"/>
          <w:szCs w:val="21"/>
        </w:rPr>
        <w:t>引进与</w:t>
      </w:r>
      <w:r w:rsidR="00FB408D">
        <w:rPr>
          <w:rFonts w:ascii="楷体_GB2312" w:eastAsia="楷体_GB2312" w:hAnsi="Calibri" w:cs="Times New Roman" w:hint="eastAsia"/>
          <w:szCs w:val="21"/>
        </w:rPr>
        <w:t>建设</w:t>
      </w:r>
      <w:r w:rsidR="00E70629">
        <w:rPr>
          <w:rFonts w:ascii="楷体_GB2312" w:eastAsia="楷体_GB2312" w:hAnsi="Calibri" w:cs="Times New Roman" w:hint="eastAsia"/>
          <w:szCs w:val="21"/>
        </w:rPr>
        <w:t>势在必行。</w:t>
      </w:r>
      <w:r w:rsidR="00E9348C">
        <w:rPr>
          <w:rFonts w:ascii="楷体_GB2312" w:eastAsia="楷体_GB2312" w:hAnsi="Calibri" w:cs="Times New Roman" w:hint="eastAsia"/>
          <w:szCs w:val="21"/>
        </w:rPr>
        <w:t>从</w:t>
      </w:r>
      <w:r>
        <w:rPr>
          <w:rFonts w:ascii="楷体_GB2312" w:eastAsia="楷体_GB2312" w:hAnsi="Calibri" w:cs="Times New Roman" w:hint="eastAsia"/>
          <w:szCs w:val="21"/>
        </w:rPr>
        <w:t>现有涉农高校</w:t>
      </w:r>
      <w:r w:rsidR="00E9348C">
        <w:rPr>
          <w:rFonts w:ascii="楷体_GB2312" w:eastAsia="楷体_GB2312" w:hAnsi="Calibri" w:cs="Times New Roman" w:hint="eastAsia"/>
          <w:szCs w:val="21"/>
        </w:rPr>
        <w:t>原版电子图书的引进情况可判断出：</w:t>
      </w:r>
      <w:r w:rsidR="005A77EC">
        <w:rPr>
          <w:rFonts w:ascii="楷体_GB2312" w:eastAsia="楷体_GB2312" w:hAnsi="Calibri" w:cs="Times New Roman" w:hint="eastAsia"/>
          <w:szCs w:val="21"/>
        </w:rPr>
        <w:t>目前我国农科类原版</w:t>
      </w:r>
      <w:r w:rsidR="00A50F40">
        <w:rPr>
          <w:rFonts w:ascii="楷体_GB2312" w:eastAsia="楷体_GB2312" w:hAnsi="Calibri" w:cs="Times New Roman" w:hint="eastAsia"/>
          <w:szCs w:val="21"/>
        </w:rPr>
        <w:t>电子图书/教材的引进工作基本</w:t>
      </w:r>
      <w:r w:rsidR="005A77EC">
        <w:rPr>
          <w:rFonts w:ascii="楷体_GB2312" w:eastAsia="楷体_GB2312" w:hAnsi="Calibri" w:cs="Times New Roman" w:hint="eastAsia"/>
          <w:szCs w:val="21"/>
        </w:rPr>
        <w:t>处在起步阶段，无论是</w:t>
      </w:r>
      <w:r w:rsidR="00A50F40">
        <w:rPr>
          <w:rFonts w:ascii="楷体_GB2312" w:eastAsia="楷体_GB2312" w:hAnsi="Calibri" w:cs="Times New Roman" w:hint="eastAsia"/>
          <w:szCs w:val="21"/>
        </w:rPr>
        <w:t>引进的内容还是引进的数量都存在不足，加强建设</w:t>
      </w:r>
      <w:r w:rsidR="00EA47DD">
        <w:rPr>
          <w:rFonts w:ascii="楷体_GB2312" w:eastAsia="楷体_GB2312" w:hAnsi="Calibri" w:cs="Times New Roman" w:hint="eastAsia"/>
          <w:szCs w:val="21"/>
        </w:rPr>
        <w:t>则应该从以下几个方面开展：</w:t>
      </w:r>
    </w:p>
    <w:p w:rsidR="00685363" w:rsidRPr="007F05EA" w:rsidRDefault="00421D67" w:rsidP="007F05EA">
      <w:pPr>
        <w:pStyle w:val="2"/>
        <w:adjustRightInd w:val="0"/>
        <w:snapToGrid w:val="0"/>
        <w:spacing w:before="0" w:after="0" w:line="360" w:lineRule="auto"/>
      </w:pPr>
      <w:r w:rsidRPr="007F05EA">
        <w:rPr>
          <w:rFonts w:hint="eastAsia"/>
        </w:rPr>
        <w:t xml:space="preserve">4.1 </w:t>
      </w:r>
      <w:r w:rsidRPr="007F05EA">
        <w:rPr>
          <w:rFonts w:hint="eastAsia"/>
        </w:rPr>
        <w:t>增加经费投入，选择优质资源</w:t>
      </w:r>
    </w:p>
    <w:p w:rsidR="0068701B" w:rsidRDefault="00E96BDF" w:rsidP="00932DBA">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加强原版电子图书/教材的引进与建设，相对充足的经费保障是必不可少的条件</w:t>
      </w:r>
      <w:r w:rsidR="00643452">
        <w:rPr>
          <w:rFonts w:ascii="楷体_GB2312" w:eastAsia="楷体_GB2312" w:hAnsi="Calibri" w:cs="Times New Roman" w:hint="eastAsia"/>
          <w:szCs w:val="21"/>
        </w:rPr>
        <w:t>。通过对涉农高校图书馆近五年的文献总经费与电子资源经费进行比较分析，</w:t>
      </w:r>
      <w:r w:rsidR="00E9348C">
        <w:rPr>
          <w:rFonts w:ascii="楷体_GB2312" w:eastAsia="楷体_GB2312" w:hAnsi="Calibri" w:cs="Times New Roman" w:hint="eastAsia"/>
          <w:szCs w:val="21"/>
        </w:rPr>
        <w:t>可以看出</w:t>
      </w:r>
      <w:r w:rsidR="000B5E67">
        <w:rPr>
          <w:rFonts w:ascii="楷体_GB2312" w:eastAsia="楷体_GB2312" w:hAnsi="Calibri" w:cs="Times New Roman" w:hint="eastAsia"/>
          <w:szCs w:val="21"/>
        </w:rPr>
        <w:t>近年来农业高校图书馆的</w:t>
      </w:r>
      <w:r w:rsidR="00EF3E0E">
        <w:rPr>
          <w:rFonts w:ascii="楷体_GB2312" w:eastAsia="楷体_GB2312" w:hAnsi="Calibri" w:cs="Times New Roman" w:hint="eastAsia"/>
          <w:szCs w:val="21"/>
        </w:rPr>
        <w:t>文献经费总体呈现出稳定上涨趋势，同时电子资源经费在总经费中的占比也呈稳定上涨趋势</w:t>
      </w:r>
      <w:r w:rsidR="00B83B1A">
        <w:rPr>
          <w:rFonts w:ascii="楷体_GB2312" w:eastAsia="楷体_GB2312" w:hAnsi="Calibri" w:cs="Times New Roman" w:hint="eastAsia"/>
          <w:szCs w:val="21"/>
        </w:rPr>
        <w:t>。但在电子资源的建设中</w:t>
      </w:r>
      <w:r w:rsidR="00D55BB4">
        <w:rPr>
          <w:rFonts w:ascii="楷体_GB2312" w:eastAsia="楷体_GB2312" w:hAnsi="Calibri" w:cs="Times New Roman" w:hint="eastAsia"/>
          <w:szCs w:val="21"/>
        </w:rPr>
        <w:t>,早期的引进重点</w:t>
      </w:r>
      <w:r w:rsidR="00BC581A">
        <w:rPr>
          <w:rFonts w:ascii="楷体_GB2312" w:eastAsia="楷体_GB2312" w:hAnsi="Calibri" w:cs="Times New Roman" w:hint="eastAsia"/>
          <w:szCs w:val="21"/>
        </w:rPr>
        <w:t>基本都是</w:t>
      </w:r>
      <w:r w:rsidR="00D55BB4">
        <w:rPr>
          <w:rFonts w:ascii="楷体_GB2312" w:eastAsia="楷体_GB2312" w:hAnsi="Calibri" w:cs="Times New Roman" w:hint="eastAsia"/>
          <w:szCs w:val="21"/>
        </w:rPr>
        <w:t>集中在</w:t>
      </w:r>
      <w:r w:rsidR="00B83B1A">
        <w:rPr>
          <w:rFonts w:ascii="楷体_GB2312" w:eastAsia="楷体_GB2312" w:hAnsi="Calibri" w:cs="Times New Roman" w:hint="eastAsia"/>
          <w:szCs w:val="21"/>
        </w:rPr>
        <w:t>电子期刊与数据库</w:t>
      </w:r>
      <w:r w:rsidR="00D55BB4">
        <w:rPr>
          <w:rFonts w:ascii="楷体_GB2312" w:eastAsia="楷体_GB2312" w:hAnsi="Calibri" w:cs="Times New Roman" w:hint="eastAsia"/>
          <w:szCs w:val="21"/>
        </w:rPr>
        <w:t>方面,</w:t>
      </w:r>
      <w:r w:rsidR="00BC581A">
        <w:rPr>
          <w:rFonts w:ascii="楷体_GB2312" w:eastAsia="楷体_GB2312" w:hAnsi="Calibri" w:cs="Times New Roman" w:hint="eastAsia"/>
          <w:szCs w:val="21"/>
        </w:rPr>
        <w:t>电子图书的占比相对要小很多,而原版电子图书的引进更是起步晚、数量少。</w:t>
      </w:r>
    </w:p>
    <w:p w:rsidR="00932DBA" w:rsidRDefault="0068701B" w:rsidP="00F43431">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在保持现有资源建设水平的基础上，各涉农高校必须逐步增加原版电子图书</w:t>
      </w:r>
      <w:r w:rsidR="006F4FF4">
        <w:rPr>
          <w:rFonts w:ascii="楷体_GB2312" w:eastAsia="楷体_GB2312" w:hAnsi="Calibri" w:cs="Times New Roman" w:hint="eastAsia"/>
          <w:szCs w:val="21"/>
        </w:rPr>
        <w:t>/教材</w:t>
      </w:r>
      <w:r>
        <w:rPr>
          <w:rFonts w:ascii="楷体_GB2312" w:eastAsia="楷体_GB2312" w:hAnsi="Calibri" w:cs="Times New Roman" w:hint="eastAsia"/>
          <w:szCs w:val="21"/>
        </w:rPr>
        <w:t>的经费投入</w:t>
      </w:r>
      <w:r w:rsidR="006F4FF4">
        <w:rPr>
          <w:rFonts w:ascii="楷体_GB2312" w:eastAsia="楷体_GB2312" w:hAnsi="Calibri" w:cs="Times New Roman" w:hint="eastAsia"/>
          <w:szCs w:val="21"/>
        </w:rPr>
        <w:t>，加强原版电子图书/教材的引进与建设工作。</w:t>
      </w:r>
      <w:r w:rsidR="007C201E">
        <w:rPr>
          <w:rFonts w:ascii="楷体_GB2312" w:eastAsia="楷体_GB2312" w:hAnsi="Calibri" w:cs="Times New Roman" w:hint="eastAsia"/>
          <w:szCs w:val="21"/>
        </w:rPr>
        <w:t>而原版电子图书昂贵的价格则要求各校在加强经费投入的</w:t>
      </w:r>
      <w:r w:rsidR="006F4FF4">
        <w:rPr>
          <w:rFonts w:ascii="楷体_GB2312" w:eastAsia="楷体_GB2312" w:hAnsi="Calibri" w:cs="Times New Roman" w:hint="eastAsia"/>
          <w:szCs w:val="21"/>
        </w:rPr>
        <w:t>同时</w:t>
      </w:r>
      <w:r w:rsidR="007C201E">
        <w:rPr>
          <w:rFonts w:ascii="楷体_GB2312" w:eastAsia="楷体_GB2312" w:hAnsi="Calibri" w:cs="Times New Roman" w:hint="eastAsia"/>
          <w:szCs w:val="21"/>
        </w:rPr>
        <w:t>必须</w:t>
      </w:r>
      <w:r w:rsidR="00932DBA">
        <w:rPr>
          <w:rFonts w:ascii="楷体_GB2312" w:eastAsia="楷体_GB2312" w:hAnsi="Calibri" w:cs="Times New Roman" w:hint="eastAsia"/>
          <w:szCs w:val="21"/>
        </w:rPr>
        <w:t>针对本校学科的发展与文献需求进行深入的调研分析，</w:t>
      </w:r>
      <w:r w:rsidR="003C4EE9">
        <w:rPr>
          <w:rFonts w:ascii="楷体_GB2312" w:eastAsia="楷体_GB2312" w:hAnsi="Calibri" w:cs="Times New Roman" w:hint="eastAsia"/>
          <w:szCs w:val="21"/>
        </w:rPr>
        <w:t>并</w:t>
      </w:r>
      <w:r w:rsidR="00932DBA">
        <w:rPr>
          <w:rFonts w:ascii="楷体_GB2312" w:eastAsia="楷体_GB2312" w:hAnsi="Calibri" w:cs="Times New Roman" w:hint="eastAsia"/>
          <w:szCs w:val="21"/>
        </w:rPr>
        <w:t>对各种原版图书的内容进行甄别</w:t>
      </w:r>
      <w:r w:rsidR="006F4FF4">
        <w:rPr>
          <w:rFonts w:ascii="楷体_GB2312" w:eastAsia="楷体_GB2312" w:hAnsi="Calibri" w:cs="Times New Roman" w:hint="eastAsia"/>
          <w:szCs w:val="21"/>
        </w:rPr>
        <w:t>选择</w:t>
      </w:r>
      <w:r w:rsidR="007C201E">
        <w:rPr>
          <w:rFonts w:ascii="楷体_GB2312" w:eastAsia="楷体_GB2312" w:hAnsi="Calibri" w:cs="Times New Roman" w:hint="eastAsia"/>
          <w:szCs w:val="21"/>
        </w:rPr>
        <w:t>，从而保障引进资源的性价比</w:t>
      </w:r>
      <w:r w:rsidR="006D3547">
        <w:rPr>
          <w:rFonts w:ascii="楷体_GB2312" w:eastAsia="楷体_GB2312" w:hAnsi="Calibri" w:cs="Times New Roman" w:hint="eastAsia"/>
          <w:szCs w:val="21"/>
        </w:rPr>
        <w:t>。</w:t>
      </w:r>
      <w:r w:rsidR="001720BA">
        <w:rPr>
          <w:rFonts w:ascii="楷体_GB2312" w:eastAsia="楷体_GB2312" w:hAnsi="Calibri" w:cs="Times New Roman" w:hint="eastAsia"/>
          <w:szCs w:val="21"/>
        </w:rPr>
        <w:t>一般而言，行业学/协会在</w:t>
      </w:r>
      <w:r w:rsidR="00320C86">
        <w:rPr>
          <w:rFonts w:ascii="楷体_GB2312" w:eastAsia="楷体_GB2312" w:hAnsi="Calibri" w:cs="Times New Roman" w:hint="eastAsia"/>
          <w:szCs w:val="21"/>
        </w:rPr>
        <w:t>本学科领域的学术地位较高，出版的学术著作也多被国际同行业内</w:t>
      </w:r>
      <w:r w:rsidR="00340BF7">
        <w:rPr>
          <w:rFonts w:ascii="楷体_GB2312" w:eastAsia="楷体_GB2312" w:hAnsi="Calibri" w:cs="Times New Roman" w:hint="eastAsia"/>
          <w:szCs w:val="21"/>
        </w:rPr>
        <w:t>的</w:t>
      </w:r>
      <w:r w:rsidR="00320C86">
        <w:rPr>
          <w:rFonts w:ascii="楷体_GB2312" w:eastAsia="楷体_GB2312" w:hAnsi="Calibri" w:cs="Times New Roman" w:hint="eastAsia"/>
          <w:szCs w:val="21"/>
        </w:rPr>
        <w:t>学者认可，所以在选择引进原版电子图书时，可以优先考虑这些出版社的产品。</w:t>
      </w:r>
      <w:r w:rsidR="0074663D">
        <w:rPr>
          <w:rFonts w:ascii="楷体_GB2312" w:eastAsia="楷体_GB2312" w:hAnsi="Calibri" w:cs="Times New Roman" w:hint="eastAsia"/>
          <w:szCs w:val="21"/>
        </w:rPr>
        <w:t>再有就是大学出版社和知名商业出</w:t>
      </w:r>
      <w:r w:rsidR="0074663D">
        <w:rPr>
          <w:rFonts w:ascii="楷体_GB2312" w:eastAsia="楷体_GB2312" w:hAnsi="Calibri" w:cs="Times New Roman" w:hint="eastAsia"/>
          <w:szCs w:val="21"/>
        </w:rPr>
        <w:lastRenderedPageBreak/>
        <w:t>版社，对这些出版社需要进一步了解其出版特点以及所具备的学科优势，</w:t>
      </w:r>
      <w:r w:rsidR="007C201E">
        <w:rPr>
          <w:rFonts w:ascii="楷体_GB2312" w:eastAsia="楷体_GB2312" w:hAnsi="Calibri" w:cs="Times New Roman" w:hint="eastAsia"/>
          <w:szCs w:val="21"/>
        </w:rPr>
        <w:t>因此保障所挑选并引进的原版电子图书在行业内具备较高的学术价值。</w:t>
      </w:r>
      <w:r w:rsidR="00340BF7">
        <w:rPr>
          <w:rFonts w:ascii="楷体_GB2312" w:eastAsia="楷体_GB2312" w:hAnsi="Calibri" w:cs="Times New Roman" w:hint="eastAsia"/>
          <w:szCs w:val="21"/>
        </w:rPr>
        <w:t>在</w:t>
      </w:r>
      <w:r w:rsidR="00320C86">
        <w:rPr>
          <w:rFonts w:ascii="楷体_GB2312" w:eastAsia="楷体_GB2312" w:hAnsi="Calibri" w:cs="Times New Roman" w:hint="eastAsia"/>
          <w:szCs w:val="21"/>
        </w:rPr>
        <w:t>目前国内已经引进的原版电子图书中</w:t>
      </w:r>
      <w:r w:rsidR="00340BF7">
        <w:rPr>
          <w:rFonts w:ascii="楷体_GB2312" w:eastAsia="楷体_GB2312" w:hAnsi="Calibri" w:cs="Times New Roman" w:hint="eastAsia"/>
          <w:szCs w:val="21"/>
        </w:rPr>
        <w:t>，</w:t>
      </w:r>
      <w:r w:rsidR="00320C86">
        <w:rPr>
          <w:rFonts w:ascii="楷体_GB2312" w:eastAsia="楷体_GB2312" w:hAnsi="Calibri" w:cs="Times New Roman" w:hint="eastAsia"/>
          <w:szCs w:val="21"/>
        </w:rPr>
        <w:t>只有CABI一家</w:t>
      </w:r>
      <w:r w:rsidR="00340BF7">
        <w:rPr>
          <w:rFonts w:ascii="楷体_GB2312" w:eastAsia="楷体_GB2312" w:hAnsi="Calibri" w:cs="Times New Roman" w:hint="eastAsia"/>
          <w:szCs w:val="21"/>
        </w:rPr>
        <w:t>属于</w:t>
      </w:r>
      <w:r w:rsidR="00320C86">
        <w:rPr>
          <w:rFonts w:ascii="楷体_GB2312" w:eastAsia="楷体_GB2312" w:hAnsi="Calibri" w:cs="Times New Roman" w:hint="eastAsia"/>
          <w:szCs w:val="21"/>
        </w:rPr>
        <w:t>纯生物农业类专业</w:t>
      </w:r>
      <w:r w:rsidR="00340BF7">
        <w:rPr>
          <w:rFonts w:ascii="楷体_GB2312" w:eastAsia="楷体_GB2312" w:hAnsi="Calibri" w:cs="Times New Roman" w:hint="eastAsia"/>
          <w:szCs w:val="21"/>
        </w:rPr>
        <w:t>出版机构，而</w:t>
      </w:r>
      <w:r w:rsidR="0074663D">
        <w:rPr>
          <w:rFonts w:ascii="楷体_GB2312" w:eastAsia="楷体_GB2312" w:hAnsi="Calibri" w:cs="Times New Roman" w:hint="eastAsia"/>
          <w:szCs w:val="21"/>
        </w:rPr>
        <w:t>很多农科行业学会如：美国</w:t>
      </w:r>
      <w:r w:rsidR="00F43431">
        <w:rPr>
          <w:rFonts w:ascii="楷体_GB2312" w:eastAsia="楷体_GB2312" w:hAnsi="Calibri" w:cs="Times New Roman" w:hint="eastAsia"/>
          <w:szCs w:val="21"/>
        </w:rPr>
        <w:t>的</w:t>
      </w:r>
      <w:r w:rsidR="0074663D">
        <w:rPr>
          <w:rFonts w:ascii="楷体_GB2312" w:eastAsia="楷体_GB2312" w:hAnsi="Calibri" w:cs="Times New Roman" w:hint="eastAsia"/>
          <w:szCs w:val="21"/>
        </w:rPr>
        <w:t>农学会、作物会学、园艺学会</w:t>
      </w:r>
      <w:r w:rsidR="00F43431">
        <w:rPr>
          <w:rFonts w:ascii="楷体_GB2312" w:eastAsia="楷体_GB2312" w:hAnsi="Calibri" w:cs="Times New Roman" w:hint="eastAsia"/>
          <w:szCs w:val="21"/>
        </w:rPr>
        <w:t>、土壤学会、动物科学学会</w:t>
      </w:r>
      <w:r w:rsidR="007C201E">
        <w:rPr>
          <w:rFonts w:ascii="楷体_GB2312" w:eastAsia="楷体_GB2312" w:hAnsi="Calibri" w:cs="Times New Roman" w:hint="eastAsia"/>
          <w:szCs w:val="21"/>
        </w:rPr>
        <w:t>等</w:t>
      </w:r>
      <w:r w:rsidR="00F43431">
        <w:rPr>
          <w:rFonts w:ascii="楷体_GB2312" w:eastAsia="楷体_GB2312" w:hAnsi="Calibri" w:cs="Times New Roman" w:hint="eastAsia"/>
          <w:szCs w:val="21"/>
        </w:rPr>
        <w:t>学术</w:t>
      </w:r>
      <w:r w:rsidR="00B16929">
        <w:rPr>
          <w:rFonts w:ascii="楷体_GB2312" w:eastAsia="楷体_GB2312" w:hAnsi="Calibri" w:cs="Times New Roman" w:hint="eastAsia"/>
          <w:szCs w:val="21"/>
        </w:rPr>
        <w:t>机构</w:t>
      </w:r>
      <w:r w:rsidR="007C201E">
        <w:rPr>
          <w:rFonts w:ascii="楷体_GB2312" w:eastAsia="楷体_GB2312" w:hAnsi="Calibri" w:cs="Times New Roman" w:hint="eastAsia"/>
          <w:szCs w:val="21"/>
        </w:rPr>
        <w:t>出版的</w:t>
      </w:r>
      <w:r w:rsidR="00F43431">
        <w:rPr>
          <w:rFonts w:ascii="楷体_GB2312" w:eastAsia="楷体_GB2312" w:hAnsi="Calibri" w:cs="Times New Roman" w:hint="eastAsia"/>
          <w:szCs w:val="21"/>
        </w:rPr>
        <w:t>图书/</w:t>
      </w:r>
      <w:r w:rsidR="007C201E">
        <w:rPr>
          <w:rFonts w:ascii="楷体_GB2312" w:eastAsia="楷体_GB2312" w:hAnsi="Calibri" w:cs="Times New Roman" w:hint="eastAsia"/>
          <w:szCs w:val="21"/>
        </w:rPr>
        <w:t>专著</w:t>
      </w:r>
      <w:r w:rsidR="00C81397">
        <w:rPr>
          <w:rFonts w:ascii="楷体_GB2312" w:eastAsia="楷体_GB2312" w:hAnsi="Calibri" w:cs="Times New Roman" w:hint="eastAsia"/>
          <w:szCs w:val="21"/>
        </w:rPr>
        <w:t>信息</w:t>
      </w:r>
      <w:r w:rsidR="007C201E">
        <w:rPr>
          <w:rFonts w:ascii="楷体_GB2312" w:eastAsia="楷体_GB2312" w:hAnsi="Calibri" w:cs="Times New Roman" w:hint="eastAsia"/>
          <w:szCs w:val="21"/>
        </w:rPr>
        <w:t>还</w:t>
      </w:r>
      <w:r w:rsidR="00687300">
        <w:rPr>
          <w:rFonts w:ascii="楷体_GB2312" w:eastAsia="楷体_GB2312" w:hAnsi="Calibri" w:cs="Times New Roman" w:hint="eastAsia"/>
          <w:szCs w:val="21"/>
        </w:rPr>
        <w:t>需要</w:t>
      </w:r>
      <w:r w:rsidR="00F43431">
        <w:rPr>
          <w:rFonts w:ascii="楷体_GB2312" w:eastAsia="楷体_GB2312" w:hAnsi="Calibri" w:cs="Times New Roman" w:hint="eastAsia"/>
          <w:szCs w:val="21"/>
        </w:rPr>
        <w:t>深入</w:t>
      </w:r>
      <w:r w:rsidR="00C81397">
        <w:rPr>
          <w:rFonts w:ascii="楷体_GB2312" w:eastAsia="楷体_GB2312" w:hAnsi="Calibri" w:cs="Times New Roman" w:hint="eastAsia"/>
          <w:szCs w:val="21"/>
        </w:rPr>
        <w:t>采集与</w:t>
      </w:r>
      <w:r w:rsidR="00F43431">
        <w:rPr>
          <w:rFonts w:ascii="楷体_GB2312" w:eastAsia="楷体_GB2312" w:hAnsi="Calibri" w:cs="Times New Roman" w:hint="eastAsia"/>
          <w:szCs w:val="21"/>
        </w:rPr>
        <w:t>调研</w:t>
      </w:r>
      <w:r w:rsidR="00687300">
        <w:rPr>
          <w:rFonts w:ascii="楷体_GB2312" w:eastAsia="楷体_GB2312" w:hAnsi="Calibri" w:cs="Times New Roman" w:hint="eastAsia"/>
          <w:szCs w:val="21"/>
        </w:rPr>
        <w:t>，并</w:t>
      </w:r>
      <w:r w:rsidR="00C81397">
        <w:rPr>
          <w:rFonts w:ascii="楷体_GB2312" w:eastAsia="楷体_GB2312" w:hAnsi="Calibri" w:cs="Times New Roman" w:hint="eastAsia"/>
          <w:szCs w:val="21"/>
        </w:rPr>
        <w:t>选</w:t>
      </w:r>
      <w:r w:rsidR="00687300">
        <w:rPr>
          <w:rFonts w:ascii="楷体_GB2312" w:eastAsia="楷体_GB2312" w:hAnsi="Calibri" w:cs="Times New Roman" w:hint="eastAsia"/>
          <w:szCs w:val="21"/>
        </w:rPr>
        <w:t>取合适</w:t>
      </w:r>
      <w:r w:rsidR="00C81397">
        <w:rPr>
          <w:rFonts w:ascii="楷体_GB2312" w:eastAsia="楷体_GB2312" w:hAnsi="Calibri" w:cs="Times New Roman" w:hint="eastAsia"/>
          <w:szCs w:val="21"/>
        </w:rPr>
        <w:t>的</w:t>
      </w:r>
      <w:r w:rsidR="00687300">
        <w:rPr>
          <w:rFonts w:ascii="楷体_GB2312" w:eastAsia="楷体_GB2312" w:hAnsi="Calibri" w:cs="Times New Roman" w:hint="eastAsia"/>
          <w:szCs w:val="21"/>
        </w:rPr>
        <w:t>方式进行引进。</w:t>
      </w:r>
    </w:p>
    <w:p w:rsidR="00421D67" w:rsidRPr="007F05EA" w:rsidRDefault="00421D67" w:rsidP="007F05EA">
      <w:pPr>
        <w:pStyle w:val="2"/>
        <w:adjustRightInd w:val="0"/>
        <w:snapToGrid w:val="0"/>
        <w:spacing w:before="0" w:after="0" w:line="360" w:lineRule="auto"/>
      </w:pPr>
      <w:r w:rsidRPr="007F05EA">
        <w:rPr>
          <w:rFonts w:hint="eastAsia"/>
        </w:rPr>
        <w:t xml:space="preserve">4.2 </w:t>
      </w:r>
      <w:r w:rsidRPr="007F05EA">
        <w:rPr>
          <w:rFonts w:hint="eastAsia"/>
        </w:rPr>
        <w:t>联盟规模引进，资源共建共享</w:t>
      </w:r>
    </w:p>
    <w:p w:rsidR="00835809" w:rsidRDefault="000A274F" w:rsidP="00B03F9D">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与传统印刷版图书相比较，电子图书</w:t>
      </w:r>
      <w:r w:rsidR="009016B7">
        <w:rPr>
          <w:rFonts w:ascii="楷体_GB2312" w:eastAsia="楷体_GB2312" w:hAnsi="Calibri" w:cs="Times New Roman" w:hint="eastAsia"/>
          <w:szCs w:val="21"/>
        </w:rPr>
        <w:t>在引进</w:t>
      </w:r>
      <w:r w:rsidR="000F50A4">
        <w:rPr>
          <w:rFonts w:ascii="楷体_GB2312" w:eastAsia="楷体_GB2312" w:hAnsi="Calibri" w:cs="Times New Roman" w:hint="eastAsia"/>
          <w:szCs w:val="21"/>
        </w:rPr>
        <w:t>、组织及使用过程中都</w:t>
      </w:r>
      <w:r w:rsidR="009016B7">
        <w:rPr>
          <w:rFonts w:ascii="楷体_GB2312" w:eastAsia="楷体_GB2312" w:hAnsi="Calibri" w:cs="Times New Roman" w:hint="eastAsia"/>
          <w:szCs w:val="21"/>
        </w:rPr>
        <w:t>有</w:t>
      </w:r>
      <w:r w:rsidR="002C593B">
        <w:rPr>
          <w:rFonts w:ascii="楷体_GB2312" w:eastAsia="楷体_GB2312" w:hAnsi="Calibri" w:cs="Times New Roman" w:hint="eastAsia"/>
          <w:szCs w:val="21"/>
        </w:rPr>
        <w:t>着显著</w:t>
      </w:r>
      <w:r w:rsidR="00B03F9D">
        <w:rPr>
          <w:rFonts w:ascii="楷体_GB2312" w:eastAsia="楷体_GB2312" w:hAnsi="Calibri" w:cs="Times New Roman" w:hint="eastAsia"/>
          <w:szCs w:val="21"/>
        </w:rPr>
        <w:t>的规模效应。印刷版图书每一本都相对独立，各图书馆购买上架后各图书之间的使用效果互不影响。</w:t>
      </w:r>
      <w:r w:rsidR="002C593B">
        <w:rPr>
          <w:rFonts w:ascii="楷体_GB2312" w:eastAsia="楷体_GB2312" w:hAnsi="Calibri" w:cs="Times New Roman" w:hint="eastAsia"/>
          <w:szCs w:val="21"/>
        </w:rPr>
        <w:t>而电子图书</w:t>
      </w:r>
      <w:r w:rsidR="00B03F9D">
        <w:rPr>
          <w:rFonts w:ascii="楷体_GB2312" w:eastAsia="楷体_GB2312" w:hAnsi="Calibri" w:cs="Times New Roman" w:hint="eastAsia"/>
          <w:szCs w:val="21"/>
        </w:rPr>
        <w:t>在使用时需要借助</w:t>
      </w:r>
      <w:r w:rsidR="000F50A4">
        <w:rPr>
          <w:rFonts w:ascii="楷体_GB2312" w:eastAsia="楷体_GB2312" w:hAnsi="Calibri" w:cs="Times New Roman" w:hint="eastAsia"/>
          <w:szCs w:val="21"/>
        </w:rPr>
        <w:t>有检索功能的网络平台，对于读者而言，自然希望尽量在一个平台上能够获取自己所需要的各种文献。如果引进的电子图书</w:t>
      </w:r>
      <w:r w:rsidR="009C1DFB">
        <w:rPr>
          <w:rFonts w:ascii="楷体_GB2312" w:eastAsia="楷体_GB2312" w:hAnsi="Calibri" w:cs="Times New Roman" w:hint="eastAsia"/>
          <w:szCs w:val="21"/>
        </w:rPr>
        <w:t>数量太少、</w:t>
      </w:r>
      <w:r w:rsidR="00760F0C">
        <w:rPr>
          <w:rFonts w:ascii="楷体_GB2312" w:eastAsia="楷体_GB2312" w:hAnsi="Calibri" w:cs="Times New Roman" w:hint="eastAsia"/>
          <w:szCs w:val="21"/>
        </w:rPr>
        <w:t>平台</w:t>
      </w:r>
      <w:r w:rsidR="009C1DFB">
        <w:rPr>
          <w:rFonts w:ascii="楷体_GB2312" w:eastAsia="楷体_GB2312" w:hAnsi="Calibri" w:cs="Times New Roman" w:hint="eastAsia"/>
          <w:szCs w:val="21"/>
        </w:rPr>
        <w:t>规模</w:t>
      </w:r>
      <w:r w:rsidR="00760F0C">
        <w:rPr>
          <w:rFonts w:ascii="楷体_GB2312" w:eastAsia="楷体_GB2312" w:hAnsi="Calibri" w:cs="Times New Roman" w:hint="eastAsia"/>
          <w:szCs w:val="21"/>
        </w:rPr>
        <w:t>过</w:t>
      </w:r>
      <w:r w:rsidR="009C1DFB">
        <w:rPr>
          <w:rFonts w:ascii="楷体_GB2312" w:eastAsia="楷体_GB2312" w:hAnsi="Calibri" w:cs="Times New Roman" w:hint="eastAsia"/>
          <w:szCs w:val="21"/>
        </w:rPr>
        <w:t>小，用户的满足度自然降低，逐渐地就会出现读者对该平台失去兴趣而放弃使用的现象，最终导致的结果就是平台失去</w:t>
      </w:r>
      <w:r w:rsidR="00835809">
        <w:rPr>
          <w:rFonts w:ascii="楷体_GB2312" w:eastAsia="楷体_GB2312" w:hAnsi="Calibri" w:cs="Times New Roman" w:hint="eastAsia"/>
          <w:szCs w:val="21"/>
        </w:rPr>
        <w:t>了</w:t>
      </w:r>
      <w:r w:rsidR="009C1DFB">
        <w:rPr>
          <w:rFonts w:ascii="楷体_GB2312" w:eastAsia="楷体_GB2312" w:hAnsi="Calibri" w:cs="Times New Roman" w:hint="eastAsia"/>
          <w:szCs w:val="21"/>
        </w:rPr>
        <w:t>生命力</w:t>
      </w:r>
      <w:r w:rsidR="00822F46">
        <w:rPr>
          <w:rFonts w:ascii="楷体_GB2312" w:eastAsia="楷体_GB2312" w:hAnsi="Calibri" w:cs="Times New Roman" w:hint="eastAsia"/>
          <w:szCs w:val="21"/>
        </w:rPr>
        <w:t>，电子图书也成为了</w:t>
      </w:r>
      <w:r w:rsidR="00835809">
        <w:rPr>
          <w:rFonts w:ascii="楷体_GB2312" w:eastAsia="楷体_GB2312" w:hAnsi="Calibri" w:cs="Times New Roman" w:hint="eastAsia"/>
          <w:szCs w:val="21"/>
        </w:rPr>
        <w:t>“</w:t>
      </w:r>
      <w:r w:rsidR="00822F46">
        <w:rPr>
          <w:rFonts w:ascii="楷体_GB2312" w:eastAsia="楷体_GB2312" w:hAnsi="Calibri" w:cs="Times New Roman" w:hint="eastAsia"/>
          <w:szCs w:val="21"/>
        </w:rPr>
        <w:t>死书</w:t>
      </w:r>
      <w:r w:rsidR="00835809">
        <w:rPr>
          <w:rFonts w:ascii="楷体_GB2312" w:eastAsia="楷体_GB2312" w:hAnsi="Calibri" w:cs="Times New Roman" w:hint="eastAsia"/>
          <w:szCs w:val="21"/>
        </w:rPr>
        <w:t>”。</w:t>
      </w:r>
    </w:p>
    <w:p w:rsidR="00B03F9D" w:rsidRDefault="00835809" w:rsidP="00B03F9D">
      <w:pPr>
        <w:autoSpaceDE w:val="0"/>
        <w:autoSpaceDN w:val="0"/>
        <w:adjustRightInd w:val="0"/>
        <w:snapToGrid w:val="0"/>
        <w:spacing w:line="360" w:lineRule="auto"/>
        <w:ind w:firstLine="420"/>
        <w:rPr>
          <w:rFonts w:ascii="楷体_GB2312" w:eastAsia="楷体_GB2312" w:hAnsi="Calibri" w:cs="Times New Roman"/>
          <w:szCs w:val="21"/>
        </w:rPr>
      </w:pPr>
      <w:r>
        <w:rPr>
          <w:rFonts w:ascii="楷体_GB2312" w:eastAsia="楷体_GB2312" w:hAnsi="Calibri" w:cs="Times New Roman" w:hint="eastAsia"/>
          <w:szCs w:val="21"/>
        </w:rPr>
        <w:t>因此在引进电子图书时必须要考虑规模化引进，尽可能地</w:t>
      </w:r>
      <w:r w:rsidR="0039028A">
        <w:rPr>
          <w:rFonts w:ascii="楷体_GB2312" w:eastAsia="楷体_GB2312" w:hAnsi="Calibri" w:cs="Times New Roman" w:hint="eastAsia"/>
          <w:szCs w:val="21"/>
        </w:rPr>
        <w:t>减少读者需要登录的平台数量，使得引进的资源在统一的平台上进行揭示。如果确实存在不同资源来源于不同平台的现象，则需要图书馆对所引进</w:t>
      </w:r>
      <w:r w:rsidR="00466212">
        <w:rPr>
          <w:rFonts w:ascii="楷体_GB2312" w:eastAsia="楷体_GB2312" w:hAnsi="Calibri" w:cs="Times New Roman" w:hint="eastAsia"/>
          <w:szCs w:val="21"/>
        </w:rPr>
        <w:t>的</w:t>
      </w:r>
      <w:r w:rsidR="0039028A">
        <w:rPr>
          <w:rFonts w:ascii="楷体_GB2312" w:eastAsia="楷体_GB2312" w:hAnsi="Calibri" w:cs="Times New Roman" w:hint="eastAsia"/>
          <w:szCs w:val="21"/>
        </w:rPr>
        <w:t>电子</w:t>
      </w:r>
      <w:r w:rsidR="00466212">
        <w:rPr>
          <w:rFonts w:ascii="楷体_GB2312" w:eastAsia="楷体_GB2312" w:hAnsi="Calibri" w:cs="Times New Roman" w:hint="eastAsia"/>
          <w:szCs w:val="21"/>
        </w:rPr>
        <w:t>图书</w:t>
      </w:r>
      <w:r w:rsidR="0039028A">
        <w:rPr>
          <w:rFonts w:ascii="楷体_GB2312" w:eastAsia="楷体_GB2312" w:hAnsi="Calibri" w:cs="Times New Roman" w:hint="eastAsia"/>
          <w:szCs w:val="21"/>
        </w:rPr>
        <w:t>进行</w:t>
      </w:r>
      <w:r w:rsidR="00466212">
        <w:rPr>
          <w:rFonts w:ascii="楷体_GB2312" w:eastAsia="楷体_GB2312" w:hAnsi="Calibri" w:cs="Times New Roman" w:hint="eastAsia"/>
          <w:szCs w:val="21"/>
        </w:rPr>
        <w:t>统一组织管理并</w:t>
      </w:r>
      <w:r w:rsidR="0039028A">
        <w:rPr>
          <w:rFonts w:ascii="楷体_GB2312" w:eastAsia="楷体_GB2312" w:hAnsi="Calibri" w:cs="Times New Roman" w:hint="eastAsia"/>
          <w:szCs w:val="21"/>
        </w:rPr>
        <w:t>整合</w:t>
      </w:r>
      <w:r w:rsidR="00F9411A">
        <w:rPr>
          <w:rFonts w:ascii="楷体_GB2312" w:eastAsia="楷体_GB2312" w:hAnsi="Calibri" w:cs="Times New Roman" w:hint="eastAsia"/>
          <w:szCs w:val="21"/>
        </w:rPr>
        <w:t>。</w:t>
      </w:r>
    </w:p>
    <w:p w:rsidR="00A756E5" w:rsidRDefault="00320051" w:rsidP="003D60EE">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t xml:space="preserve">    此外，电子图书</w:t>
      </w:r>
      <w:r w:rsidR="00BA56F9">
        <w:rPr>
          <w:rFonts w:ascii="楷体_GB2312" w:eastAsia="楷体_GB2312" w:hAnsi="Calibri" w:cs="Times New Roman" w:hint="eastAsia"/>
          <w:szCs w:val="21"/>
        </w:rPr>
        <w:t>的购买特点使得其</w:t>
      </w:r>
      <w:r>
        <w:rPr>
          <w:rFonts w:ascii="楷体_GB2312" w:eastAsia="楷体_GB2312" w:hAnsi="Calibri" w:cs="Times New Roman" w:hint="eastAsia"/>
          <w:szCs w:val="21"/>
        </w:rPr>
        <w:t>在引进过程中采用集团联盟的方式也有着格外</w:t>
      </w:r>
      <w:r w:rsidR="00762C7F">
        <w:rPr>
          <w:rFonts w:ascii="楷体_GB2312" w:eastAsia="楷体_GB2312" w:hAnsi="Calibri" w:cs="Times New Roman" w:hint="eastAsia"/>
          <w:szCs w:val="21"/>
        </w:rPr>
        <w:t>的优势。在外国教材中心联盟采购原版电子教材的同时，涉农高校也根据</w:t>
      </w:r>
      <w:r>
        <w:rPr>
          <w:rFonts w:ascii="楷体_GB2312" w:eastAsia="楷体_GB2312" w:hAnsi="Calibri" w:cs="Times New Roman" w:hint="eastAsia"/>
          <w:szCs w:val="21"/>
        </w:rPr>
        <w:t>各自</w:t>
      </w:r>
      <w:r w:rsidR="00762C7F">
        <w:rPr>
          <w:rFonts w:ascii="楷体_GB2312" w:eastAsia="楷体_GB2312" w:hAnsi="Calibri" w:cs="Times New Roman" w:hint="eastAsia"/>
          <w:szCs w:val="21"/>
        </w:rPr>
        <w:t>的</w:t>
      </w:r>
      <w:r>
        <w:rPr>
          <w:rFonts w:ascii="楷体_GB2312" w:eastAsia="楷体_GB2312" w:hAnsi="Calibri" w:cs="Times New Roman" w:hint="eastAsia"/>
          <w:szCs w:val="21"/>
        </w:rPr>
        <w:t>需求</w:t>
      </w:r>
      <w:r w:rsidR="00762C7F">
        <w:rPr>
          <w:rFonts w:ascii="楷体_GB2312" w:eastAsia="楷体_GB2312" w:hAnsi="Calibri" w:cs="Times New Roman" w:hint="eastAsia"/>
          <w:szCs w:val="21"/>
        </w:rPr>
        <w:t>自愿参加了</w:t>
      </w:r>
      <w:r>
        <w:rPr>
          <w:rFonts w:ascii="楷体_GB2312" w:eastAsia="楷体_GB2312" w:hAnsi="Calibri" w:cs="Times New Roman" w:hint="eastAsia"/>
          <w:szCs w:val="21"/>
        </w:rPr>
        <w:t>联盟采购CABI电子图书。</w:t>
      </w:r>
      <w:r w:rsidR="00762C7F">
        <w:rPr>
          <w:rFonts w:ascii="楷体_GB2312" w:eastAsia="楷体_GB2312" w:hAnsi="Calibri" w:cs="Times New Roman" w:hint="eastAsia"/>
          <w:szCs w:val="21"/>
        </w:rPr>
        <w:t>由于集团联盟采购成员馆数量的增加，最终获得了最优的价格方案，一些原本经费有限无力引进原版电子图书的学校也能够通过集团联采的方式</w:t>
      </w:r>
      <w:r w:rsidR="0026637A">
        <w:rPr>
          <w:rFonts w:ascii="楷体_GB2312" w:eastAsia="楷体_GB2312" w:hAnsi="Calibri" w:cs="Times New Roman" w:hint="eastAsia"/>
          <w:szCs w:val="21"/>
        </w:rPr>
        <w:t>开展了原版电子图书的建设工作。</w:t>
      </w:r>
      <w:r>
        <w:rPr>
          <w:rFonts w:ascii="楷体_GB2312" w:eastAsia="楷体_GB2312" w:hAnsi="Calibri" w:cs="Times New Roman" w:hint="eastAsia"/>
          <w:szCs w:val="21"/>
        </w:rPr>
        <w:t>从这一成功案例中可以看出，</w:t>
      </w:r>
      <w:r w:rsidR="007A679A">
        <w:rPr>
          <w:rFonts w:ascii="楷体_GB2312" w:eastAsia="楷体_GB2312" w:hAnsi="Calibri" w:cs="Times New Roman" w:hint="eastAsia"/>
          <w:szCs w:val="21"/>
        </w:rPr>
        <w:t>以学科为核心组织相关高校</w:t>
      </w:r>
      <w:r>
        <w:rPr>
          <w:rFonts w:ascii="楷体_GB2312" w:eastAsia="楷体_GB2312" w:hAnsi="Calibri" w:cs="Times New Roman" w:hint="eastAsia"/>
          <w:szCs w:val="21"/>
        </w:rPr>
        <w:t>联盟引进原版电子图书</w:t>
      </w:r>
      <w:r w:rsidR="007A679A">
        <w:rPr>
          <w:rFonts w:ascii="楷体_GB2312" w:eastAsia="楷体_GB2312" w:hAnsi="Calibri" w:cs="Times New Roman" w:hint="eastAsia"/>
          <w:szCs w:val="21"/>
        </w:rPr>
        <w:t>不仅</w:t>
      </w:r>
      <w:r>
        <w:rPr>
          <w:rFonts w:ascii="楷体_GB2312" w:eastAsia="楷体_GB2312" w:hAnsi="Calibri" w:cs="Times New Roman" w:hint="eastAsia"/>
          <w:szCs w:val="21"/>
        </w:rPr>
        <w:t>可以获得最大的价格优惠，</w:t>
      </w:r>
      <w:r w:rsidR="007A679A">
        <w:rPr>
          <w:rFonts w:ascii="楷体_GB2312" w:eastAsia="楷体_GB2312" w:hAnsi="Calibri" w:cs="Times New Roman" w:hint="eastAsia"/>
          <w:szCs w:val="21"/>
        </w:rPr>
        <w:t>而且可以使得</w:t>
      </w:r>
      <w:r>
        <w:rPr>
          <w:rFonts w:ascii="楷体_GB2312" w:eastAsia="楷体_GB2312" w:hAnsi="Calibri" w:cs="Times New Roman" w:hint="eastAsia"/>
          <w:szCs w:val="21"/>
        </w:rPr>
        <w:t>受众面最大化</w:t>
      </w:r>
      <w:r w:rsidR="007F05EA">
        <w:rPr>
          <w:rFonts w:ascii="楷体_GB2312" w:eastAsia="楷体_GB2312" w:hAnsi="Calibri" w:cs="Times New Roman" w:hint="eastAsia"/>
          <w:szCs w:val="21"/>
        </w:rPr>
        <w:t>，实现</w:t>
      </w:r>
      <w:r w:rsidR="00511892">
        <w:rPr>
          <w:rFonts w:ascii="楷体_GB2312" w:eastAsia="楷体_GB2312" w:hAnsi="Calibri" w:cs="Times New Roman" w:hint="eastAsia"/>
          <w:szCs w:val="21"/>
        </w:rPr>
        <w:t>真正意义上的资源</w:t>
      </w:r>
      <w:r w:rsidR="007F05EA">
        <w:rPr>
          <w:rFonts w:ascii="楷体_GB2312" w:eastAsia="楷体_GB2312" w:hAnsi="Calibri" w:cs="Times New Roman" w:hint="eastAsia"/>
          <w:szCs w:val="21"/>
        </w:rPr>
        <w:t>共建共享</w:t>
      </w:r>
      <w:r w:rsidR="007A679A">
        <w:rPr>
          <w:rFonts w:ascii="楷体_GB2312" w:eastAsia="楷体_GB2312" w:hAnsi="Calibri" w:cs="Times New Roman" w:hint="eastAsia"/>
          <w:szCs w:val="21"/>
        </w:rPr>
        <w:t>。</w:t>
      </w:r>
    </w:p>
    <w:p w:rsidR="00760F0C" w:rsidRPr="007F05EA" w:rsidRDefault="00760F0C" w:rsidP="007F05EA">
      <w:pPr>
        <w:pStyle w:val="2"/>
        <w:adjustRightInd w:val="0"/>
        <w:snapToGrid w:val="0"/>
        <w:spacing w:before="0" w:after="0" w:line="360" w:lineRule="auto"/>
      </w:pPr>
      <w:r w:rsidRPr="007F05EA">
        <w:rPr>
          <w:rFonts w:hint="eastAsia"/>
        </w:rPr>
        <w:t>4.</w:t>
      </w:r>
      <w:r w:rsidR="00354757">
        <w:rPr>
          <w:rFonts w:hint="eastAsia"/>
        </w:rPr>
        <w:t xml:space="preserve">3 </w:t>
      </w:r>
      <w:r w:rsidRPr="007F05EA">
        <w:rPr>
          <w:rFonts w:hint="eastAsia"/>
        </w:rPr>
        <w:t>加强</w:t>
      </w:r>
      <w:r w:rsidR="00A756E5" w:rsidRPr="007F05EA">
        <w:rPr>
          <w:rFonts w:hint="eastAsia"/>
        </w:rPr>
        <w:t>保障性建设</w:t>
      </w:r>
      <w:r w:rsidRPr="007F05EA">
        <w:rPr>
          <w:rFonts w:hint="eastAsia"/>
        </w:rPr>
        <w:t>，</w:t>
      </w:r>
      <w:r w:rsidR="00A756E5" w:rsidRPr="007F05EA">
        <w:rPr>
          <w:rFonts w:hint="eastAsia"/>
        </w:rPr>
        <w:t>促进可</w:t>
      </w:r>
      <w:r w:rsidR="007A679A" w:rsidRPr="007F05EA">
        <w:rPr>
          <w:rFonts w:hint="eastAsia"/>
        </w:rPr>
        <w:t>持续发展</w:t>
      </w:r>
    </w:p>
    <w:p w:rsidR="009C2332" w:rsidRDefault="0092153B" w:rsidP="008D4AB6">
      <w:pPr>
        <w:autoSpaceDE w:val="0"/>
        <w:autoSpaceDN w:val="0"/>
        <w:adjustRightInd w:val="0"/>
        <w:snapToGrid w:val="0"/>
        <w:spacing w:line="360" w:lineRule="auto"/>
        <w:ind w:firstLine="405"/>
        <w:rPr>
          <w:rFonts w:ascii="楷体_GB2312" w:eastAsia="楷体_GB2312" w:hAnsi="Calibri" w:cs="Times New Roman"/>
          <w:szCs w:val="21"/>
        </w:rPr>
      </w:pPr>
      <w:r>
        <w:rPr>
          <w:rFonts w:ascii="楷体_GB2312" w:eastAsia="楷体_GB2312" w:hAnsi="Calibri" w:cs="Times New Roman" w:hint="eastAsia"/>
          <w:szCs w:val="21"/>
        </w:rPr>
        <w:t>原版电子图书的建设是一项持续长久的工作，</w:t>
      </w:r>
      <w:r w:rsidR="00A4298C">
        <w:rPr>
          <w:rFonts w:ascii="楷体_GB2312" w:eastAsia="楷体_GB2312" w:hAnsi="Calibri" w:cs="Times New Roman" w:hint="eastAsia"/>
          <w:szCs w:val="21"/>
        </w:rPr>
        <w:t>科学地引进农科类原版教材，是</w:t>
      </w:r>
      <w:r w:rsidR="008D4AB6" w:rsidRPr="008D4AB6">
        <w:rPr>
          <w:rFonts w:ascii="楷体_GB2312" w:eastAsia="楷体_GB2312" w:hAnsi="Calibri" w:cs="Times New Roman" w:hint="eastAsia"/>
          <w:szCs w:val="21"/>
        </w:rPr>
        <w:t>造就大批具有国际视野、了解学术发展前沿和具备国际学术交流能力的高级专门人才</w:t>
      </w:r>
      <w:r w:rsidR="00A4298C">
        <w:rPr>
          <w:rFonts w:ascii="楷体_GB2312" w:eastAsia="楷体_GB2312" w:hAnsi="Calibri" w:cs="Times New Roman" w:hint="eastAsia"/>
          <w:szCs w:val="21"/>
        </w:rPr>
        <w:t>的需要</w:t>
      </w:r>
      <w:r w:rsidR="008D4AB6" w:rsidRPr="008D4AB6">
        <w:rPr>
          <w:rFonts w:ascii="楷体_GB2312" w:eastAsia="楷体_GB2312" w:hAnsi="Calibri" w:cs="Times New Roman" w:hint="eastAsia"/>
          <w:szCs w:val="21"/>
        </w:rPr>
        <w:t>，</w:t>
      </w:r>
      <w:r w:rsidR="00A4298C">
        <w:rPr>
          <w:rFonts w:ascii="楷体_GB2312" w:eastAsia="楷体_GB2312" w:hAnsi="Calibri" w:cs="Times New Roman" w:hint="eastAsia"/>
          <w:szCs w:val="21"/>
        </w:rPr>
        <w:t>更</w:t>
      </w:r>
      <w:r w:rsidR="008D4AB6" w:rsidRPr="008D4AB6">
        <w:rPr>
          <w:rFonts w:ascii="楷体_GB2312" w:eastAsia="楷体_GB2312" w:hAnsi="Calibri" w:cs="Times New Roman" w:hint="eastAsia"/>
          <w:szCs w:val="21"/>
        </w:rPr>
        <w:t>是</w:t>
      </w:r>
      <w:r w:rsidR="00354757">
        <w:rPr>
          <w:rFonts w:ascii="楷体_GB2312" w:eastAsia="楷体_GB2312" w:hAnsi="Calibri" w:cs="Times New Roman" w:hint="eastAsia"/>
          <w:szCs w:val="21"/>
        </w:rPr>
        <w:t>各涉农高校肩负</w:t>
      </w:r>
      <w:r w:rsidR="008D4AB6" w:rsidRPr="008D4AB6">
        <w:rPr>
          <w:rFonts w:ascii="楷体_GB2312" w:eastAsia="楷体_GB2312" w:hAnsi="Calibri" w:cs="Times New Roman" w:hint="eastAsia"/>
          <w:szCs w:val="21"/>
        </w:rPr>
        <w:t>的时代使命。</w:t>
      </w:r>
      <w:r w:rsidR="00CD322C">
        <w:rPr>
          <w:rFonts w:ascii="楷体_GB2312" w:eastAsia="楷体_GB2312" w:hAnsi="Calibri" w:cs="Times New Roman" w:hint="eastAsia"/>
          <w:szCs w:val="21"/>
        </w:rPr>
        <w:t>引进原版电子图书的</w:t>
      </w:r>
      <w:r w:rsidR="006C0EAF">
        <w:rPr>
          <w:rFonts w:ascii="楷体_GB2312" w:eastAsia="楷体_GB2312" w:hAnsi="Calibri" w:cs="Times New Roman" w:hint="eastAsia"/>
          <w:szCs w:val="21"/>
        </w:rPr>
        <w:t>工作</w:t>
      </w:r>
      <w:r w:rsidR="008208F2">
        <w:rPr>
          <w:rFonts w:ascii="楷体_GB2312" w:eastAsia="楷体_GB2312" w:hAnsi="Calibri" w:cs="Times New Roman" w:hint="eastAsia"/>
          <w:szCs w:val="21"/>
        </w:rPr>
        <w:t>必须是随着目标学科的发展而持续开展的，其中最忌事先不做计划临时有经费突击购买，缺少持续性和稳定性。原版电子图书作为学科发展的重要文献保障，需要构建适合电子图书发展的保障</w:t>
      </w:r>
      <w:r w:rsidR="008F2374">
        <w:rPr>
          <w:rFonts w:ascii="楷体_GB2312" w:eastAsia="楷体_GB2312" w:hAnsi="Calibri" w:cs="Times New Roman" w:hint="eastAsia"/>
          <w:szCs w:val="21"/>
        </w:rPr>
        <w:t>性环境，从而确保该项工作能够可持续的发展。</w:t>
      </w:r>
    </w:p>
    <w:p w:rsidR="008F2374" w:rsidRDefault="008F2374" w:rsidP="008D4AB6">
      <w:pPr>
        <w:autoSpaceDE w:val="0"/>
        <w:autoSpaceDN w:val="0"/>
        <w:adjustRightInd w:val="0"/>
        <w:snapToGrid w:val="0"/>
        <w:spacing w:line="360" w:lineRule="auto"/>
        <w:ind w:firstLine="405"/>
        <w:rPr>
          <w:rFonts w:ascii="楷体_GB2312" w:eastAsia="楷体_GB2312" w:hAnsi="Calibri" w:cs="Times New Roman"/>
          <w:szCs w:val="21"/>
        </w:rPr>
      </w:pPr>
      <w:r>
        <w:rPr>
          <w:rFonts w:ascii="楷体_GB2312" w:eastAsia="楷体_GB2312" w:hAnsi="Calibri" w:cs="Times New Roman" w:hint="eastAsia"/>
          <w:szCs w:val="21"/>
        </w:rPr>
        <w:t>这</w:t>
      </w:r>
      <w:r w:rsidR="00424ADB">
        <w:rPr>
          <w:rFonts w:ascii="楷体_GB2312" w:eastAsia="楷体_GB2312" w:hAnsi="Calibri" w:cs="Times New Roman" w:hint="eastAsia"/>
          <w:szCs w:val="21"/>
        </w:rPr>
        <w:t>种</w:t>
      </w:r>
      <w:r>
        <w:rPr>
          <w:rFonts w:ascii="楷体_GB2312" w:eastAsia="楷体_GB2312" w:hAnsi="Calibri" w:cs="Times New Roman" w:hint="eastAsia"/>
          <w:szCs w:val="21"/>
        </w:rPr>
        <w:t>保障性环境</w:t>
      </w:r>
      <w:r w:rsidR="00326422">
        <w:rPr>
          <w:rFonts w:ascii="楷体_GB2312" w:eastAsia="楷体_GB2312" w:hAnsi="Calibri" w:cs="Times New Roman" w:hint="eastAsia"/>
          <w:szCs w:val="21"/>
        </w:rPr>
        <w:t>应该是包括三个方面：首先是经费保障</w:t>
      </w:r>
      <w:r w:rsidR="00424ADB">
        <w:rPr>
          <w:rFonts w:ascii="楷体_GB2312" w:eastAsia="楷体_GB2312" w:hAnsi="Calibri" w:cs="Times New Roman" w:hint="eastAsia"/>
          <w:szCs w:val="21"/>
        </w:rPr>
        <w:t>，</w:t>
      </w:r>
      <w:r w:rsidR="00462443">
        <w:rPr>
          <w:rFonts w:ascii="楷体_GB2312" w:eastAsia="楷体_GB2312" w:hAnsi="Calibri" w:cs="Times New Roman" w:hint="eastAsia"/>
          <w:szCs w:val="21"/>
        </w:rPr>
        <w:t>优质的原版电子图书价格不菲，规模化的引进必须要有充足的经费保障</w:t>
      </w:r>
      <w:r w:rsidR="00363048">
        <w:rPr>
          <w:rFonts w:ascii="楷体_GB2312" w:eastAsia="楷体_GB2312" w:hAnsi="Calibri" w:cs="Times New Roman" w:hint="eastAsia"/>
          <w:szCs w:val="21"/>
        </w:rPr>
        <w:t>。</w:t>
      </w:r>
      <w:r w:rsidR="00AE6C91">
        <w:rPr>
          <w:rFonts w:ascii="楷体_GB2312" w:eastAsia="楷体_GB2312" w:hAnsi="Calibri" w:cs="Times New Roman" w:hint="eastAsia"/>
          <w:szCs w:val="21"/>
        </w:rPr>
        <w:t>很多学术出版社的优质资源都需要长期跟踪、连续引进；所以</w:t>
      </w:r>
      <w:r w:rsidR="00363048">
        <w:rPr>
          <w:rFonts w:ascii="楷体_GB2312" w:eastAsia="楷体_GB2312" w:hAnsi="Calibri" w:cs="Times New Roman" w:hint="eastAsia"/>
          <w:szCs w:val="21"/>
        </w:rPr>
        <w:t>各学校</w:t>
      </w:r>
      <w:r w:rsidR="00AC0DC6">
        <w:rPr>
          <w:rFonts w:ascii="楷体_GB2312" w:eastAsia="楷体_GB2312" w:hAnsi="Calibri" w:cs="Times New Roman" w:hint="eastAsia"/>
          <w:szCs w:val="21"/>
        </w:rPr>
        <w:t>应该</w:t>
      </w:r>
      <w:r w:rsidR="00363048">
        <w:rPr>
          <w:rFonts w:ascii="楷体_GB2312" w:eastAsia="楷体_GB2312" w:hAnsi="Calibri" w:cs="Times New Roman" w:hint="eastAsia"/>
          <w:szCs w:val="21"/>
        </w:rPr>
        <w:t>根据</w:t>
      </w:r>
      <w:r w:rsidR="00AC0DC6">
        <w:rPr>
          <w:rFonts w:ascii="楷体_GB2312" w:eastAsia="楷体_GB2312" w:hAnsi="Calibri" w:cs="Times New Roman" w:hint="eastAsia"/>
          <w:szCs w:val="21"/>
        </w:rPr>
        <w:t>学科发展</w:t>
      </w:r>
      <w:r w:rsidR="001B5CB2">
        <w:rPr>
          <w:rFonts w:ascii="楷体_GB2312" w:eastAsia="楷体_GB2312" w:hAnsi="Calibri" w:cs="Times New Roman" w:hint="eastAsia"/>
          <w:szCs w:val="21"/>
        </w:rPr>
        <w:t>的</w:t>
      </w:r>
      <w:r w:rsidR="00AC0DC6">
        <w:rPr>
          <w:rFonts w:ascii="楷体_GB2312" w:eastAsia="楷体_GB2312" w:hAnsi="Calibri" w:cs="Times New Roman" w:hint="eastAsia"/>
          <w:szCs w:val="21"/>
        </w:rPr>
        <w:t>需要</w:t>
      </w:r>
      <w:r w:rsidR="00235ECA">
        <w:rPr>
          <w:rFonts w:ascii="楷体_GB2312" w:eastAsia="楷体_GB2312" w:hAnsi="Calibri" w:cs="Times New Roman" w:hint="eastAsia"/>
          <w:szCs w:val="21"/>
        </w:rPr>
        <w:t>预先制订</w:t>
      </w:r>
      <w:r w:rsidR="00AE6C91">
        <w:rPr>
          <w:rFonts w:ascii="楷体_GB2312" w:eastAsia="楷体_GB2312" w:hAnsi="Calibri" w:cs="Times New Roman" w:hint="eastAsia"/>
          <w:szCs w:val="21"/>
        </w:rPr>
        <w:t>好</w:t>
      </w:r>
      <w:r w:rsidR="00363048">
        <w:rPr>
          <w:rFonts w:ascii="楷体_GB2312" w:eastAsia="楷体_GB2312" w:hAnsi="Calibri" w:cs="Times New Roman" w:hint="eastAsia"/>
          <w:szCs w:val="21"/>
        </w:rPr>
        <w:t>经费</w:t>
      </w:r>
      <w:r w:rsidR="00AE6C91">
        <w:rPr>
          <w:rFonts w:ascii="楷体_GB2312" w:eastAsia="楷体_GB2312" w:hAnsi="Calibri" w:cs="Times New Roman" w:hint="eastAsia"/>
          <w:szCs w:val="21"/>
        </w:rPr>
        <w:t>使用</w:t>
      </w:r>
      <w:r w:rsidR="0050620E">
        <w:rPr>
          <w:rFonts w:ascii="楷体_GB2312" w:eastAsia="楷体_GB2312" w:hAnsi="Calibri" w:cs="Times New Roman" w:hint="eastAsia"/>
          <w:szCs w:val="21"/>
        </w:rPr>
        <w:t>的中长期</w:t>
      </w:r>
      <w:r w:rsidR="00363048">
        <w:rPr>
          <w:rFonts w:ascii="楷体_GB2312" w:eastAsia="楷体_GB2312" w:hAnsi="Calibri" w:cs="Times New Roman" w:hint="eastAsia"/>
          <w:szCs w:val="21"/>
        </w:rPr>
        <w:t>计划，</w:t>
      </w:r>
      <w:r w:rsidR="009B79A0">
        <w:rPr>
          <w:rFonts w:ascii="楷体_GB2312" w:eastAsia="楷体_GB2312" w:hAnsi="Calibri" w:cs="Times New Roman" w:hint="eastAsia"/>
          <w:szCs w:val="21"/>
        </w:rPr>
        <w:t>从而</w:t>
      </w:r>
      <w:r w:rsidR="001B5CB2">
        <w:rPr>
          <w:rFonts w:ascii="楷体_GB2312" w:eastAsia="楷体_GB2312" w:hAnsi="Calibri" w:cs="Times New Roman" w:hint="eastAsia"/>
          <w:szCs w:val="21"/>
        </w:rPr>
        <w:t>确保</w:t>
      </w:r>
      <w:r w:rsidR="009B79A0">
        <w:rPr>
          <w:rFonts w:ascii="楷体_GB2312" w:eastAsia="楷体_GB2312" w:hAnsi="Calibri" w:cs="Times New Roman" w:hint="eastAsia"/>
          <w:szCs w:val="21"/>
        </w:rPr>
        <w:t>原版电子图书引进工作能够顺利开展，并具有持续性。</w:t>
      </w:r>
      <w:r w:rsidR="00326422">
        <w:rPr>
          <w:rFonts w:ascii="楷体_GB2312" w:eastAsia="楷体_GB2312" w:hAnsi="Calibri" w:cs="Times New Roman" w:hint="eastAsia"/>
          <w:szCs w:val="21"/>
        </w:rPr>
        <w:t>其次是人员保障</w:t>
      </w:r>
      <w:r w:rsidR="001B5CB2">
        <w:rPr>
          <w:rFonts w:ascii="楷体_GB2312" w:eastAsia="楷体_GB2312" w:hAnsi="Calibri" w:cs="Times New Roman" w:hint="eastAsia"/>
          <w:szCs w:val="21"/>
        </w:rPr>
        <w:t>。原版电子图书的引进</w:t>
      </w:r>
      <w:r w:rsidR="001B5CB2">
        <w:rPr>
          <w:rFonts w:ascii="楷体_GB2312" w:eastAsia="楷体_GB2312" w:hAnsi="Calibri" w:cs="Times New Roman" w:hint="eastAsia"/>
          <w:szCs w:val="21"/>
        </w:rPr>
        <w:lastRenderedPageBreak/>
        <w:t>与建设不是简单的购买行为，在前期需要对资源内容进行学术性和新颖性</w:t>
      </w:r>
      <w:r w:rsidR="00D03033">
        <w:rPr>
          <w:rFonts w:ascii="楷体_GB2312" w:eastAsia="楷体_GB2312" w:hAnsi="Calibri" w:cs="Times New Roman" w:hint="eastAsia"/>
          <w:szCs w:val="21"/>
        </w:rPr>
        <w:t>的甄别与筛选，在中期需要对使用的模式及引进</w:t>
      </w:r>
      <w:r w:rsidR="00A1776E">
        <w:rPr>
          <w:rFonts w:ascii="楷体_GB2312" w:eastAsia="楷体_GB2312" w:hAnsi="Calibri" w:cs="Times New Roman" w:hint="eastAsia"/>
          <w:szCs w:val="21"/>
        </w:rPr>
        <w:t>方式进行选择，在后期则需要对引进的资源进行宣传与揭示服务。这一系</w:t>
      </w:r>
      <w:r w:rsidR="00D03033">
        <w:rPr>
          <w:rFonts w:ascii="楷体_GB2312" w:eastAsia="楷体_GB2312" w:hAnsi="Calibri" w:cs="Times New Roman" w:hint="eastAsia"/>
          <w:szCs w:val="21"/>
        </w:rPr>
        <w:t>列工作的开展都对工作人员的学科素质与信息素质提出了较高的要求，</w:t>
      </w:r>
      <w:r w:rsidR="00281911">
        <w:rPr>
          <w:rFonts w:ascii="楷体_GB2312" w:eastAsia="楷体_GB2312" w:hAnsi="Calibri" w:cs="Times New Roman" w:hint="eastAsia"/>
          <w:szCs w:val="21"/>
        </w:rPr>
        <w:t>因此人员的保障也是原版电子图书建设工作开展的必要条件之一。</w:t>
      </w:r>
      <w:r w:rsidR="00B04188">
        <w:rPr>
          <w:rFonts w:ascii="楷体_GB2312" w:eastAsia="楷体_GB2312" w:hAnsi="Calibri" w:cs="Times New Roman" w:hint="eastAsia"/>
          <w:szCs w:val="21"/>
        </w:rPr>
        <w:t>再者就是</w:t>
      </w:r>
      <w:r w:rsidR="00326422">
        <w:rPr>
          <w:rFonts w:ascii="楷体_GB2312" w:eastAsia="楷体_GB2312" w:hAnsi="Calibri" w:cs="Times New Roman" w:hint="eastAsia"/>
          <w:szCs w:val="21"/>
        </w:rPr>
        <w:t>工作流程规范保障</w:t>
      </w:r>
      <w:r w:rsidR="00281911">
        <w:rPr>
          <w:rFonts w:ascii="楷体_GB2312" w:eastAsia="楷体_GB2312" w:hAnsi="Calibri" w:cs="Times New Roman" w:hint="eastAsia"/>
          <w:szCs w:val="21"/>
        </w:rPr>
        <w:t>，</w:t>
      </w:r>
      <w:r w:rsidR="00F76CBB">
        <w:rPr>
          <w:rFonts w:ascii="楷体_GB2312" w:eastAsia="楷体_GB2312" w:hAnsi="Calibri" w:cs="Times New Roman" w:hint="eastAsia"/>
          <w:szCs w:val="21"/>
        </w:rPr>
        <w:t>科学规范的管理是工作可持续发展的基础。原版电子图书在选择引进、组织揭示、宣传服务等方面都与</w:t>
      </w:r>
      <w:r w:rsidR="00216EF0">
        <w:rPr>
          <w:rFonts w:ascii="楷体_GB2312" w:eastAsia="楷体_GB2312" w:hAnsi="Calibri" w:cs="Times New Roman" w:hint="eastAsia"/>
          <w:szCs w:val="21"/>
        </w:rPr>
        <w:t>传统印刷版图书的</w:t>
      </w:r>
      <w:r w:rsidR="00F76CBB">
        <w:rPr>
          <w:rFonts w:ascii="楷体_GB2312" w:eastAsia="楷体_GB2312" w:hAnsi="Calibri" w:cs="Times New Roman" w:hint="eastAsia"/>
          <w:szCs w:val="21"/>
        </w:rPr>
        <w:t>管理方式有着显著不同。因此在引进原版电子图书的工作中，需要重新制定科学可行的工作流程规范，要求整个工作的不同环节都要有章可循、有法可依。</w:t>
      </w:r>
    </w:p>
    <w:p w:rsidR="00F76CBB" w:rsidRDefault="00F76CBB" w:rsidP="008D4AB6">
      <w:pPr>
        <w:autoSpaceDE w:val="0"/>
        <w:autoSpaceDN w:val="0"/>
        <w:adjustRightInd w:val="0"/>
        <w:snapToGrid w:val="0"/>
        <w:spacing w:line="360" w:lineRule="auto"/>
        <w:ind w:firstLine="405"/>
        <w:rPr>
          <w:rFonts w:ascii="楷体_GB2312" w:eastAsia="楷体_GB2312" w:hAnsi="Calibri" w:cs="Times New Roman"/>
          <w:szCs w:val="21"/>
        </w:rPr>
      </w:pPr>
      <w:r>
        <w:rPr>
          <w:rFonts w:ascii="楷体_GB2312" w:eastAsia="楷体_GB2312" w:hAnsi="Calibri" w:cs="Times New Roman" w:hint="eastAsia"/>
          <w:szCs w:val="21"/>
        </w:rPr>
        <w:t>总之，</w:t>
      </w:r>
      <w:r w:rsidR="004908CA">
        <w:rPr>
          <w:rFonts w:ascii="楷体_GB2312" w:eastAsia="楷体_GB2312" w:hAnsi="Calibri" w:cs="Times New Roman" w:hint="eastAsia"/>
          <w:szCs w:val="21"/>
        </w:rPr>
        <w:t>农科类原版电子图书的引进与建设是</w:t>
      </w:r>
      <w:r w:rsidR="00425C41">
        <w:rPr>
          <w:rFonts w:ascii="楷体_GB2312" w:eastAsia="楷体_GB2312" w:hAnsi="Calibri" w:cs="Times New Roman" w:hint="eastAsia"/>
          <w:szCs w:val="21"/>
        </w:rPr>
        <w:t>我国</w:t>
      </w:r>
      <w:r w:rsidR="004908CA">
        <w:rPr>
          <w:rFonts w:ascii="楷体_GB2312" w:eastAsia="楷体_GB2312" w:hAnsi="Calibri" w:cs="Times New Roman" w:hint="eastAsia"/>
          <w:szCs w:val="21"/>
        </w:rPr>
        <w:t>农业科学研究与技术发展的重要</w:t>
      </w:r>
      <w:r w:rsidR="000C3E90">
        <w:rPr>
          <w:rFonts w:ascii="楷体_GB2312" w:eastAsia="楷体_GB2312" w:hAnsi="Calibri" w:cs="Times New Roman" w:hint="eastAsia"/>
          <w:szCs w:val="21"/>
        </w:rPr>
        <w:t>基础</w:t>
      </w:r>
      <w:r w:rsidR="004908CA">
        <w:rPr>
          <w:rFonts w:ascii="楷体_GB2312" w:eastAsia="楷体_GB2312" w:hAnsi="Calibri" w:cs="Times New Roman" w:hint="eastAsia"/>
          <w:szCs w:val="21"/>
        </w:rPr>
        <w:t>，</w:t>
      </w:r>
      <w:r w:rsidR="00425C41">
        <w:rPr>
          <w:rFonts w:ascii="楷体_GB2312" w:eastAsia="楷体_GB2312" w:hAnsi="Calibri" w:cs="Times New Roman" w:hint="eastAsia"/>
          <w:szCs w:val="21"/>
        </w:rPr>
        <w:t xml:space="preserve"> </w:t>
      </w:r>
      <w:r w:rsidR="00445C8A">
        <w:rPr>
          <w:rFonts w:ascii="楷体_GB2312" w:eastAsia="楷体_GB2312" w:hAnsi="Calibri" w:cs="Times New Roman" w:hint="eastAsia"/>
          <w:szCs w:val="21"/>
        </w:rPr>
        <w:t>目前我国农业科技研究的发展水平是世界一流尚有较大差距，引进并借鉴发达国家的先进科学技术对于我国农业的发展有着重要意义。所以我国农科类原版电子图书的引进工作可谓任重而道远，</w:t>
      </w:r>
      <w:r w:rsidR="000C3E90">
        <w:rPr>
          <w:rFonts w:ascii="楷体_GB2312" w:eastAsia="楷体_GB2312" w:hAnsi="Calibri" w:cs="Times New Roman" w:hint="eastAsia"/>
          <w:szCs w:val="21"/>
        </w:rPr>
        <w:t>需要加强全面的保障性建设，促进原版电子图书引进工作的可持续发展，最终为农业科学技术的发展提供持续保障。</w:t>
      </w:r>
      <w:r w:rsidR="00425C41">
        <w:rPr>
          <w:rFonts w:ascii="楷体_GB2312" w:eastAsia="楷体_GB2312" w:hAnsi="Calibri" w:cs="Times New Roman" w:hint="eastAsia"/>
          <w:szCs w:val="21"/>
        </w:rPr>
        <w:t xml:space="preserve">                                                                                                                                                                                             </w:t>
      </w:r>
    </w:p>
    <w:p w:rsidR="00A4298C" w:rsidRDefault="008208F2" w:rsidP="008D4AB6">
      <w:pPr>
        <w:autoSpaceDE w:val="0"/>
        <w:autoSpaceDN w:val="0"/>
        <w:adjustRightInd w:val="0"/>
        <w:snapToGrid w:val="0"/>
        <w:spacing w:line="360" w:lineRule="auto"/>
        <w:ind w:firstLine="405"/>
        <w:rPr>
          <w:rFonts w:ascii="楷体_GB2312" w:eastAsia="楷体_GB2312" w:hAnsi="Calibri" w:cs="Times New Roman"/>
          <w:szCs w:val="21"/>
        </w:rPr>
      </w:pPr>
      <w:r>
        <w:rPr>
          <w:rFonts w:ascii="楷体_GB2312" w:eastAsia="楷体_GB2312" w:hAnsi="Calibri" w:cs="Times New Roman" w:hint="eastAsia"/>
          <w:szCs w:val="21"/>
        </w:rPr>
        <w:t xml:space="preserve">                                                                                                                                                                                                                                                                                                                                                                                                                                                                                                                                                                                                                                                                                                                                                                                                                                                   </w:t>
      </w:r>
    </w:p>
    <w:p w:rsidR="008D4AB6" w:rsidRDefault="008D4AB6"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1B5C82" w:rsidRDefault="001B5C82" w:rsidP="00CD0609">
      <w:pPr>
        <w:autoSpaceDE w:val="0"/>
        <w:autoSpaceDN w:val="0"/>
        <w:adjustRightInd w:val="0"/>
        <w:snapToGrid w:val="0"/>
        <w:spacing w:line="360" w:lineRule="auto"/>
        <w:rPr>
          <w:rFonts w:ascii="楷体_GB2312" w:eastAsia="楷体_GB2312" w:hAnsi="Calibri" w:cs="Times New Roman"/>
          <w:szCs w:val="21"/>
        </w:rPr>
      </w:pPr>
    </w:p>
    <w:p w:rsidR="001B5C82" w:rsidRDefault="001B5C82" w:rsidP="00CD0609">
      <w:pPr>
        <w:autoSpaceDE w:val="0"/>
        <w:autoSpaceDN w:val="0"/>
        <w:adjustRightInd w:val="0"/>
        <w:snapToGrid w:val="0"/>
        <w:spacing w:line="360" w:lineRule="auto"/>
        <w:rPr>
          <w:rFonts w:ascii="楷体_GB2312" w:eastAsia="楷体_GB2312" w:hAnsi="Calibri" w:cs="Times New Roman"/>
          <w:szCs w:val="21"/>
        </w:rPr>
      </w:pPr>
    </w:p>
    <w:p w:rsidR="001B5C82" w:rsidRDefault="001B5C82" w:rsidP="00CD0609">
      <w:pPr>
        <w:autoSpaceDE w:val="0"/>
        <w:autoSpaceDN w:val="0"/>
        <w:adjustRightInd w:val="0"/>
        <w:snapToGrid w:val="0"/>
        <w:spacing w:line="360" w:lineRule="auto"/>
        <w:rPr>
          <w:rFonts w:ascii="楷体_GB2312" w:eastAsia="楷体_GB2312" w:hAnsi="Calibri" w:cs="Times New Roman"/>
          <w:szCs w:val="21"/>
        </w:rPr>
      </w:pPr>
    </w:p>
    <w:p w:rsidR="001B5C82" w:rsidRDefault="001B5C82" w:rsidP="00CD0609">
      <w:pPr>
        <w:autoSpaceDE w:val="0"/>
        <w:autoSpaceDN w:val="0"/>
        <w:adjustRightInd w:val="0"/>
        <w:snapToGrid w:val="0"/>
        <w:spacing w:line="360" w:lineRule="auto"/>
        <w:rPr>
          <w:rFonts w:ascii="楷体_GB2312" w:eastAsia="楷体_GB2312" w:hAnsi="Calibri" w:cs="Times New Roman"/>
          <w:szCs w:val="21"/>
        </w:rPr>
      </w:pPr>
    </w:p>
    <w:p w:rsidR="001B5C82" w:rsidRDefault="001B5C82" w:rsidP="00CD0609">
      <w:pPr>
        <w:autoSpaceDE w:val="0"/>
        <w:autoSpaceDN w:val="0"/>
        <w:adjustRightInd w:val="0"/>
        <w:snapToGrid w:val="0"/>
        <w:spacing w:line="360" w:lineRule="auto"/>
        <w:rPr>
          <w:rFonts w:ascii="楷体_GB2312" w:eastAsia="楷体_GB2312" w:hAnsi="Calibri" w:cs="Times New Roman"/>
          <w:szCs w:val="21"/>
        </w:rPr>
      </w:pPr>
    </w:p>
    <w:p w:rsidR="001B5C82" w:rsidRDefault="001B5C82" w:rsidP="00CD0609">
      <w:pPr>
        <w:autoSpaceDE w:val="0"/>
        <w:autoSpaceDN w:val="0"/>
        <w:adjustRightInd w:val="0"/>
        <w:snapToGrid w:val="0"/>
        <w:spacing w:line="360" w:lineRule="auto"/>
        <w:rPr>
          <w:rFonts w:ascii="楷体_GB2312" w:eastAsia="楷体_GB2312" w:hAnsi="Calibri" w:cs="Times New Roman"/>
          <w:szCs w:val="21"/>
        </w:rPr>
      </w:pPr>
    </w:p>
    <w:p w:rsidR="00CD0609" w:rsidRDefault="00CD0609" w:rsidP="00CD0609">
      <w:pPr>
        <w:autoSpaceDE w:val="0"/>
        <w:autoSpaceDN w:val="0"/>
        <w:adjustRightInd w:val="0"/>
        <w:snapToGrid w:val="0"/>
        <w:spacing w:line="360" w:lineRule="auto"/>
        <w:ind w:leftChars="-405" w:left="-850" w:firstLineChars="405" w:firstLine="850"/>
        <w:rPr>
          <w:rFonts w:ascii="楷体_GB2312" w:eastAsia="楷体_GB2312" w:hAnsi="Calibri" w:cs="Times New Roman"/>
          <w:szCs w:val="21"/>
        </w:rPr>
      </w:pPr>
      <w:r>
        <w:rPr>
          <w:rFonts w:ascii="楷体_GB2312" w:eastAsia="楷体_GB2312" w:hAnsi="Calibri" w:cs="Times New Roman" w:hint="eastAsia"/>
          <w:szCs w:val="21"/>
        </w:rPr>
        <w:lastRenderedPageBreak/>
        <w:t>附表1:</w:t>
      </w:r>
      <w:r w:rsidR="002408A7" w:rsidRPr="002408A7">
        <w:rPr>
          <w:rFonts w:ascii="楷体_GB2312" w:eastAsia="楷体_GB2312" w:hAnsi="Calibri" w:cs="Times New Roman" w:hint="eastAsia"/>
          <w:szCs w:val="21"/>
        </w:rPr>
        <w:t xml:space="preserve"> </w:t>
      </w:r>
      <w:r w:rsidR="002408A7">
        <w:rPr>
          <w:rFonts w:ascii="楷体_GB2312" w:eastAsia="楷体_GB2312" w:hAnsi="Calibri" w:cs="Times New Roman" w:hint="eastAsia"/>
          <w:szCs w:val="21"/>
        </w:rPr>
        <w:t>涉农高校从引进出版社原版电子图书总量及平台数量</w:t>
      </w:r>
    </w:p>
    <w:tbl>
      <w:tblPr>
        <w:tblW w:w="7797" w:type="dxa"/>
        <w:tblInd w:w="-34" w:type="dxa"/>
        <w:tblLook w:val="04A0" w:firstRow="1" w:lastRow="0" w:firstColumn="1" w:lastColumn="0" w:noHBand="0" w:noVBand="1"/>
      </w:tblPr>
      <w:tblGrid>
        <w:gridCol w:w="568"/>
        <w:gridCol w:w="1134"/>
        <w:gridCol w:w="1122"/>
        <w:gridCol w:w="1896"/>
        <w:gridCol w:w="1801"/>
        <w:gridCol w:w="1276"/>
      </w:tblGrid>
      <w:tr w:rsidR="00435103" w:rsidRPr="00CD0609" w:rsidTr="001E0122">
        <w:trPr>
          <w:trHeight w:val="540"/>
        </w:trPr>
        <w:tc>
          <w:tcPr>
            <w:tcW w:w="568" w:type="dxa"/>
            <w:tcBorders>
              <w:top w:val="single" w:sz="4" w:space="0" w:color="auto"/>
              <w:left w:val="single" w:sz="4" w:space="0" w:color="auto"/>
              <w:bottom w:val="single" w:sz="4" w:space="0" w:color="auto"/>
              <w:right w:val="single" w:sz="4" w:space="0" w:color="auto"/>
            </w:tcBorders>
            <w:vAlign w:val="center"/>
          </w:tcPr>
          <w:p w:rsidR="00435103" w:rsidRPr="00CD0609" w:rsidRDefault="00435103" w:rsidP="00CD0609">
            <w:pPr>
              <w:widowControl/>
              <w:jc w:val="center"/>
              <w:rPr>
                <w:rFonts w:ascii="楷体" w:eastAsia="楷体" w:hAnsi="楷体" w:cs="宋体"/>
                <w:kern w:val="0"/>
                <w:szCs w:val="21"/>
              </w:rPr>
            </w:pPr>
            <w:r>
              <w:rPr>
                <w:rFonts w:ascii="楷体" w:eastAsia="楷体" w:hAnsi="楷体" w:cs="宋体" w:hint="eastAsia"/>
                <w:kern w:val="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kern w:val="0"/>
                <w:szCs w:val="21"/>
              </w:rPr>
            </w:pPr>
            <w:r w:rsidRPr="00CD0609">
              <w:rPr>
                <w:rFonts w:ascii="楷体" w:eastAsia="楷体" w:hAnsi="楷体" w:cs="宋体" w:hint="eastAsia"/>
                <w:kern w:val="0"/>
                <w:szCs w:val="21"/>
              </w:rPr>
              <w:t>成员馆名单</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kern w:val="0"/>
                <w:szCs w:val="21"/>
              </w:rPr>
            </w:pPr>
            <w:r w:rsidRPr="00CD0609">
              <w:rPr>
                <w:rFonts w:ascii="楷体" w:eastAsia="楷体" w:hAnsi="楷体" w:cs="宋体" w:hint="eastAsia"/>
                <w:kern w:val="0"/>
                <w:szCs w:val="21"/>
              </w:rPr>
              <w:t>电子图书平台数量</w:t>
            </w:r>
          </w:p>
        </w:tc>
        <w:tc>
          <w:tcPr>
            <w:tcW w:w="1896" w:type="dxa"/>
            <w:tcBorders>
              <w:top w:val="single" w:sz="4" w:space="0" w:color="auto"/>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出版社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227F4F">
            <w:pPr>
              <w:widowControl/>
              <w:jc w:val="center"/>
              <w:rPr>
                <w:rFonts w:ascii="楷体" w:eastAsia="楷体" w:hAnsi="楷体" w:cs="宋体"/>
                <w:kern w:val="0"/>
                <w:szCs w:val="21"/>
              </w:rPr>
            </w:pPr>
            <w:r w:rsidRPr="00227F4F">
              <w:rPr>
                <w:rFonts w:ascii="楷体" w:eastAsia="楷体" w:hAnsi="楷体" w:cs="宋体" w:hint="eastAsia"/>
                <w:kern w:val="0"/>
                <w:szCs w:val="21"/>
              </w:rPr>
              <w:t>电子图书册数</w:t>
            </w:r>
          </w:p>
          <w:p w:rsidR="00435103" w:rsidRPr="00227F4F" w:rsidRDefault="00435103" w:rsidP="00227F4F">
            <w:pPr>
              <w:widowControl/>
              <w:jc w:val="center"/>
              <w:rPr>
                <w:rFonts w:ascii="楷体" w:eastAsia="楷体" w:hAnsi="楷体" w:cs="宋体"/>
                <w:kern w:val="0"/>
                <w:szCs w:val="21"/>
              </w:rPr>
            </w:pPr>
            <w:r>
              <w:rPr>
                <w:rFonts w:ascii="楷体" w:eastAsia="楷体" w:hAnsi="楷体" w:cs="宋体" w:hint="eastAsia"/>
                <w:kern w:val="0"/>
                <w:szCs w:val="21"/>
              </w:rPr>
              <w:t>(</w:t>
            </w:r>
            <w:r w:rsidRPr="00435103">
              <w:rPr>
                <w:rFonts w:ascii="楷体" w:eastAsia="楷体" w:hAnsi="楷体" w:cs="宋体" w:hint="eastAsia"/>
                <w:kern w:val="0"/>
                <w:szCs w:val="21"/>
              </w:rPr>
              <w:t>区间</w:t>
            </w:r>
            <w:r>
              <w:rPr>
                <w:rFonts w:ascii="楷体" w:eastAsia="楷体" w:hAnsi="楷体" w:cs="宋体" w:hint="eastAsia"/>
                <w:kern w:val="0"/>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Pr="00CD0609" w:rsidRDefault="00435103" w:rsidP="00227F4F">
            <w:pPr>
              <w:widowControl/>
              <w:jc w:val="center"/>
              <w:rPr>
                <w:rFonts w:ascii="楷体" w:eastAsia="楷体" w:hAnsi="楷体" w:cs="宋体"/>
                <w:kern w:val="0"/>
                <w:szCs w:val="21"/>
              </w:rPr>
            </w:pPr>
            <w:r w:rsidRPr="00CD0609">
              <w:rPr>
                <w:rFonts w:ascii="楷体" w:eastAsia="楷体" w:hAnsi="楷体" w:cs="宋体" w:hint="eastAsia"/>
                <w:kern w:val="0"/>
                <w:szCs w:val="21"/>
              </w:rPr>
              <w:t>学科</w:t>
            </w:r>
          </w:p>
        </w:tc>
      </w:tr>
      <w:tr w:rsidR="00435103" w:rsidRPr="00CD0609" w:rsidTr="001E0122">
        <w:trPr>
          <w:trHeight w:val="540"/>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安徽农业大学</w:t>
            </w:r>
            <w:r w:rsidRPr="00CD0609">
              <w:rPr>
                <w:rFonts w:ascii="宋体" w:eastAsia="楷体" w:hAnsi="宋体" w:cs="宋体" w:hint="eastAsia"/>
                <w:kern w:val="0"/>
                <w:szCs w:val="21"/>
              </w:rPr>
              <w:t>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kern w:val="0"/>
                <w:szCs w:val="21"/>
              </w:rPr>
            </w:pPr>
            <w:r w:rsidRPr="00CD0609">
              <w:rPr>
                <w:rFonts w:ascii="楷体" w:eastAsia="楷体" w:hAnsi="楷体" w:cs="宋体" w:hint="eastAsia"/>
                <w:kern w:val="0"/>
                <w:szCs w:val="21"/>
              </w:rPr>
              <w:t>4</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CABI、大英百科全书、Springer电子图书、Elsevier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sz w:val="22"/>
              </w:rPr>
            </w:pPr>
            <w:r>
              <w:rPr>
                <w:rFonts w:hint="eastAsia"/>
                <w:sz w:val="22"/>
              </w:rPr>
              <w:t>10000-20000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Pr="00CD0609" w:rsidRDefault="00435103" w:rsidP="00227F4F">
            <w:pPr>
              <w:widowControl/>
              <w:jc w:val="center"/>
              <w:rPr>
                <w:rFonts w:ascii="楷体" w:eastAsia="楷体" w:hAnsi="楷体" w:cs="宋体"/>
                <w:kern w:val="0"/>
                <w:szCs w:val="21"/>
              </w:rPr>
            </w:pPr>
            <w:r w:rsidRPr="00CD0609">
              <w:rPr>
                <w:rFonts w:ascii="楷体" w:eastAsia="楷体" w:hAnsi="楷体" w:cs="宋体" w:hint="eastAsia"/>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北京林业大学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CABI、大英百科全书</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农业/生物；工具书</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北京农学院</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CABI、Springer电子图书</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大连海洋大学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东北农业大学</w:t>
            </w:r>
            <w:r w:rsidRPr="00CD0609">
              <w:rPr>
                <w:rFonts w:ascii="宋体" w:eastAsia="楷体" w:hAnsi="宋体" w:cs="宋体" w:hint="eastAsia"/>
                <w:kern w:val="0"/>
                <w:szCs w:val="21"/>
              </w:rPr>
              <w:t>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福建农林大学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OUP、CABI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1000-5000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甘肃农业大学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540"/>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广西大学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8</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RSC、OUP、CABI、SIAM、IET、ACS、IEEE-Wiley、ASME</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海南大学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3</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CABI、Emerald、Springer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10000-20000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河北农业大学</w:t>
            </w:r>
            <w:r w:rsidRPr="00CD0609">
              <w:rPr>
                <w:rFonts w:ascii="宋体" w:eastAsia="楷体" w:hAnsi="宋体" w:cs="宋体" w:hint="eastAsia"/>
                <w:kern w:val="0"/>
                <w:szCs w:val="21"/>
              </w:rPr>
              <w:t>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黑龙江八一农垦大学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CABI、IEEE-Wiley</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540"/>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华南农业大学</w:t>
            </w:r>
            <w:r w:rsidRPr="00CD0609">
              <w:rPr>
                <w:rFonts w:ascii="宋体" w:eastAsia="楷体" w:hAnsi="宋体" w:cs="宋体" w:hint="eastAsia"/>
                <w:kern w:val="0"/>
                <w:szCs w:val="21"/>
              </w:rPr>
              <w:t>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3</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Springer、Taylor &amp; Francis、CABI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华中农业大学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3</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CABI、IGI Global、Emerald</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1000-5000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吉林农业大学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810"/>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江南大学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9</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JohnWiley、Taylor、SPIE、Elsevier、RSC、Woodhead、CUP、ACS、CABI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70"/>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江西农业大学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南京林业大学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3</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Springer、Elsevier、RSC</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540"/>
        </w:trPr>
        <w:tc>
          <w:tcPr>
            <w:tcW w:w="568" w:type="dxa"/>
            <w:tcBorders>
              <w:top w:val="single" w:sz="4" w:space="0" w:color="auto"/>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南京农业大学</w:t>
            </w:r>
            <w:r w:rsidRPr="00CD0609">
              <w:rPr>
                <w:rFonts w:ascii="宋体" w:eastAsia="楷体" w:hAnsi="宋体" w:cs="宋体" w:hint="eastAsia"/>
                <w:kern w:val="0"/>
                <w:szCs w:val="21"/>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5</w:t>
            </w:r>
          </w:p>
        </w:tc>
        <w:tc>
          <w:tcPr>
            <w:tcW w:w="1896" w:type="dxa"/>
            <w:tcBorders>
              <w:top w:val="single" w:sz="4" w:space="0" w:color="auto"/>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CABI、IDRC、RSC、Elsevier、Springer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内蒙古农业大学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RSC、CABI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1000-5000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农业/生物/化学</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青岛农业大学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山东农业大学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山西农业大学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Manson、CABI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上海海洋大学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沈阳农业大学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四川农业大学</w:t>
            </w:r>
          </w:p>
        </w:tc>
        <w:tc>
          <w:tcPr>
            <w:tcW w:w="1122" w:type="dxa"/>
            <w:tcBorders>
              <w:top w:val="nil"/>
              <w:left w:val="single" w:sz="8"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Elsevier、CABI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塔里木大学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8" w:space="0" w:color="auto"/>
              <w:bottom w:val="single" w:sz="4" w:space="0" w:color="auto"/>
              <w:right w:val="single" w:sz="8"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天津农学院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CABI、Springer电子图书</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1000-5000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西北农林科技大学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2</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CABI、Springer电子图书</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20000-30000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西南大学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3</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CABI、EMS、Springer、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西南林业大学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扬州大学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3</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Springer、CABI、Elsevier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40000-50000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云南农业大学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浙江海洋学院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World-scientific</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浙江农林大学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中国海洋大学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Springer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多学科</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中国农业大学</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3</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CABI、Manson、IEEE-Wiley</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1000-5000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农业/生物/信息</w:t>
            </w:r>
          </w:p>
        </w:tc>
      </w:tr>
      <w:tr w:rsidR="00435103" w:rsidRPr="00CD0609" w:rsidTr="001E0122">
        <w:trPr>
          <w:trHeight w:val="285"/>
        </w:trPr>
        <w:tc>
          <w:tcPr>
            <w:tcW w:w="568" w:type="dxa"/>
            <w:tcBorders>
              <w:top w:val="nil"/>
              <w:left w:val="single" w:sz="4" w:space="0" w:color="auto"/>
              <w:bottom w:val="single" w:sz="4" w:space="0" w:color="auto"/>
              <w:right w:val="single" w:sz="4" w:space="0" w:color="auto"/>
            </w:tcBorders>
            <w:vAlign w:val="center"/>
          </w:tcPr>
          <w:p w:rsidR="00435103" w:rsidRPr="00CD0609" w:rsidRDefault="00435103" w:rsidP="00CD0609">
            <w:pPr>
              <w:pStyle w:val="a7"/>
              <w:widowControl/>
              <w:numPr>
                <w:ilvl w:val="0"/>
                <w:numId w:val="4"/>
              </w:numPr>
              <w:ind w:firstLineChars="0"/>
              <w:jc w:val="center"/>
              <w:rPr>
                <w:rFonts w:ascii="楷体" w:eastAsia="楷体" w:hAnsi="楷体" w:cs="宋体"/>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5103" w:rsidRPr="00CD0609" w:rsidRDefault="00435103" w:rsidP="00CD0609">
            <w:pPr>
              <w:widowControl/>
              <w:jc w:val="left"/>
              <w:rPr>
                <w:rFonts w:ascii="楷体" w:eastAsia="楷体" w:hAnsi="楷体" w:cs="宋体"/>
                <w:kern w:val="0"/>
                <w:szCs w:val="21"/>
              </w:rPr>
            </w:pPr>
            <w:r w:rsidRPr="00CD0609">
              <w:rPr>
                <w:rFonts w:ascii="楷体" w:eastAsia="楷体" w:hAnsi="楷体" w:cs="宋体" w:hint="eastAsia"/>
                <w:kern w:val="0"/>
                <w:szCs w:val="21"/>
              </w:rPr>
              <w:t xml:space="preserve">仲恺农业工程学院 </w:t>
            </w:r>
          </w:p>
        </w:tc>
        <w:tc>
          <w:tcPr>
            <w:tcW w:w="1122" w:type="dxa"/>
            <w:tcBorders>
              <w:top w:val="nil"/>
              <w:left w:val="nil"/>
              <w:bottom w:val="single" w:sz="4" w:space="0" w:color="auto"/>
              <w:right w:val="single" w:sz="4" w:space="0" w:color="auto"/>
            </w:tcBorders>
            <w:shd w:val="clear" w:color="auto" w:fill="auto"/>
            <w:vAlign w:val="center"/>
            <w:hideMark/>
          </w:tcPr>
          <w:p w:rsidR="00435103" w:rsidRPr="00CD0609" w:rsidRDefault="00435103" w:rsidP="00CD0609">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1</w:t>
            </w:r>
          </w:p>
        </w:tc>
        <w:tc>
          <w:tcPr>
            <w:tcW w:w="1896" w:type="dxa"/>
            <w:tcBorders>
              <w:top w:val="nil"/>
              <w:left w:val="nil"/>
              <w:bottom w:val="single" w:sz="4" w:space="0" w:color="auto"/>
              <w:right w:val="nil"/>
            </w:tcBorders>
            <w:shd w:val="clear" w:color="auto" w:fill="auto"/>
            <w:vAlign w:val="center"/>
            <w:hideMark/>
          </w:tcPr>
          <w:p w:rsidR="00435103" w:rsidRPr="00227F4F" w:rsidRDefault="00435103" w:rsidP="00227F4F">
            <w:pPr>
              <w:widowControl/>
              <w:jc w:val="left"/>
              <w:rPr>
                <w:rFonts w:ascii="楷体" w:eastAsia="楷体" w:hAnsi="楷体" w:cs="宋体"/>
                <w:kern w:val="0"/>
                <w:szCs w:val="21"/>
              </w:rPr>
            </w:pPr>
            <w:r w:rsidRPr="00227F4F">
              <w:rPr>
                <w:rFonts w:ascii="楷体" w:eastAsia="楷体" w:hAnsi="楷体" w:cs="宋体" w:hint="eastAsia"/>
                <w:kern w:val="0"/>
                <w:szCs w:val="21"/>
              </w:rPr>
              <w:t>CABI</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103" w:rsidRDefault="00435103" w:rsidP="00FB0A08">
            <w:pPr>
              <w:jc w:val="center"/>
              <w:rPr>
                <w:rFonts w:ascii="宋体" w:eastAsia="宋体" w:hAnsi="宋体" w:cs="宋体"/>
                <w:color w:val="000000"/>
                <w:sz w:val="22"/>
              </w:rPr>
            </w:pPr>
            <w:r>
              <w:rPr>
                <w:rFonts w:hint="eastAsia"/>
                <w:color w:val="000000"/>
                <w:sz w:val="22"/>
              </w:rPr>
              <w:t>0-500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103" w:rsidRPr="00CD0609" w:rsidRDefault="00435103" w:rsidP="00227F4F">
            <w:pPr>
              <w:widowControl/>
              <w:jc w:val="center"/>
              <w:rPr>
                <w:rFonts w:ascii="楷体" w:eastAsia="楷体" w:hAnsi="楷体" w:cs="宋体"/>
                <w:color w:val="000000"/>
                <w:kern w:val="0"/>
                <w:szCs w:val="21"/>
              </w:rPr>
            </w:pPr>
            <w:r w:rsidRPr="00CD0609">
              <w:rPr>
                <w:rFonts w:ascii="楷体" w:eastAsia="楷体" w:hAnsi="楷体" w:cs="宋体" w:hint="eastAsia"/>
                <w:color w:val="000000"/>
                <w:kern w:val="0"/>
                <w:szCs w:val="21"/>
              </w:rPr>
              <w:t>农业/生物</w:t>
            </w:r>
          </w:p>
        </w:tc>
      </w:tr>
    </w:tbl>
    <w:p w:rsidR="00CD0609" w:rsidRDefault="00CD0609" w:rsidP="00CD0609">
      <w:pPr>
        <w:autoSpaceDE w:val="0"/>
        <w:autoSpaceDN w:val="0"/>
        <w:adjustRightInd w:val="0"/>
        <w:snapToGrid w:val="0"/>
        <w:spacing w:line="360" w:lineRule="auto"/>
        <w:rPr>
          <w:rFonts w:ascii="楷体_GB2312" w:eastAsia="楷体_GB2312" w:hAnsi="Calibri" w:cs="Times New Roman"/>
          <w:szCs w:val="21"/>
        </w:rPr>
      </w:pPr>
    </w:p>
    <w:p w:rsidR="00FB0A08" w:rsidRDefault="00FB0A08" w:rsidP="00CD0609">
      <w:pPr>
        <w:autoSpaceDE w:val="0"/>
        <w:autoSpaceDN w:val="0"/>
        <w:adjustRightInd w:val="0"/>
        <w:snapToGrid w:val="0"/>
        <w:spacing w:line="360" w:lineRule="auto"/>
        <w:rPr>
          <w:rFonts w:ascii="楷体_GB2312" w:eastAsia="楷体_GB2312" w:hAnsi="Calibri" w:cs="Times New Roman"/>
          <w:szCs w:val="21"/>
        </w:rPr>
      </w:pPr>
    </w:p>
    <w:p w:rsidR="00FB0A08" w:rsidRDefault="00FB0A08" w:rsidP="00CD0609">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lastRenderedPageBreak/>
        <w:t>附表2:</w:t>
      </w:r>
      <w:r w:rsidRPr="00FB0A08">
        <w:rPr>
          <w:rFonts w:ascii="楷体_GB2312" w:eastAsia="楷体_GB2312" w:hAnsi="Calibri" w:cs="Times New Roman" w:hint="eastAsia"/>
          <w:szCs w:val="21"/>
        </w:rPr>
        <w:t xml:space="preserve"> </w:t>
      </w:r>
      <w:r w:rsidR="00BD112D">
        <w:rPr>
          <w:rFonts w:ascii="楷体_GB2312" w:eastAsia="楷体_GB2312" w:hAnsi="Calibri" w:cs="Times New Roman" w:hint="eastAsia"/>
          <w:szCs w:val="21"/>
        </w:rPr>
        <w:t>涉农高校引进</w:t>
      </w:r>
      <w:r>
        <w:rPr>
          <w:rFonts w:ascii="楷体_GB2312" w:eastAsia="楷体_GB2312" w:hAnsi="Calibri" w:cs="Times New Roman" w:hint="eastAsia"/>
          <w:szCs w:val="21"/>
        </w:rPr>
        <w:t>国外集成商提供</w:t>
      </w:r>
      <w:r w:rsidR="00BD112D">
        <w:rPr>
          <w:rFonts w:ascii="楷体_GB2312" w:eastAsia="楷体_GB2312" w:hAnsi="Calibri" w:cs="Times New Roman" w:hint="eastAsia"/>
          <w:szCs w:val="21"/>
        </w:rPr>
        <w:t>原版电子图书总量及平台数量</w:t>
      </w:r>
    </w:p>
    <w:tbl>
      <w:tblPr>
        <w:tblW w:w="80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559"/>
        <w:gridCol w:w="1522"/>
        <w:gridCol w:w="2127"/>
        <w:gridCol w:w="2163"/>
      </w:tblGrid>
      <w:tr w:rsidR="00FA78E9" w:rsidRPr="00BD112D" w:rsidTr="00FA78E9">
        <w:trPr>
          <w:trHeight w:val="624"/>
        </w:trPr>
        <w:tc>
          <w:tcPr>
            <w:tcW w:w="722" w:type="dxa"/>
            <w:vAlign w:val="center"/>
          </w:tcPr>
          <w:p w:rsidR="00FA78E9" w:rsidRPr="00BD112D" w:rsidRDefault="00FA78E9" w:rsidP="00BD112D">
            <w:pPr>
              <w:widowControl/>
              <w:jc w:val="center"/>
              <w:rPr>
                <w:rFonts w:ascii="楷体" w:eastAsia="楷体" w:hAnsi="楷体" w:cs="宋体"/>
                <w:kern w:val="0"/>
                <w:szCs w:val="21"/>
              </w:rPr>
            </w:pPr>
            <w:r>
              <w:rPr>
                <w:rFonts w:ascii="楷体" w:eastAsia="楷体" w:hAnsi="楷体" w:cs="宋体" w:hint="eastAsia"/>
                <w:kern w:val="0"/>
                <w:szCs w:val="21"/>
              </w:rPr>
              <w:t>序号</w:t>
            </w:r>
          </w:p>
        </w:tc>
        <w:tc>
          <w:tcPr>
            <w:tcW w:w="1559" w:type="dxa"/>
            <w:shd w:val="clear" w:color="auto" w:fill="auto"/>
            <w:vAlign w:val="center"/>
            <w:hideMark/>
          </w:tcPr>
          <w:p w:rsidR="00FA78E9" w:rsidRPr="00BD112D" w:rsidRDefault="00FA78E9" w:rsidP="00BD112D">
            <w:pPr>
              <w:widowControl/>
              <w:jc w:val="center"/>
              <w:rPr>
                <w:rFonts w:ascii="楷体" w:eastAsia="楷体" w:hAnsi="楷体" w:cs="宋体"/>
                <w:kern w:val="0"/>
                <w:szCs w:val="21"/>
              </w:rPr>
            </w:pPr>
            <w:r w:rsidRPr="00BD112D">
              <w:rPr>
                <w:rFonts w:ascii="楷体" w:eastAsia="楷体" w:hAnsi="楷体" w:cs="宋体" w:hint="eastAsia"/>
                <w:kern w:val="0"/>
                <w:szCs w:val="21"/>
              </w:rPr>
              <w:t>成员馆名单</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kern w:val="0"/>
                <w:szCs w:val="21"/>
              </w:rPr>
            </w:pPr>
            <w:r w:rsidRPr="00BD112D">
              <w:rPr>
                <w:rFonts w:ascii="楷体" w:eastAsia="楷体" w:hAnsi="楷体" w:cs="宋体" w:hint="eastAsia"/>
                <w:kern w:val="0"/>
                <w:szCs w:val="21"/>
              </w:rPr>
              <w:t>电子图书平台数量</w:t>
            </w:r>
          </w:p>
        </w:tc>
        <w:tc>
          <w:tcPr>
            <w:tcW w:w="2127" w:type="dxa"/>
            <w:shd w:val="clear" w:color="auto" w:fill="auto"/>
            <w:noWrap/>
            <w:vAlign w:val="center"/>
            <w:hideMark/>
          </w:tcPr>
          <w:p w:rsidR="00FA78E9" w:rsidRPr="00BD112D" w:rsidRDefault="00FA78E9" w:rsidP="00BD112D">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集成商</w:t>
            </w:r>
          </w:p>
        </w:tc>
        <w:tc>
          <w:tcPr>
            <w:tcW w:w="2163" w:type="dxa"/>
            <w:shd w:val="clear" w:color="auto" w:fill="auto"/>
            <w:vAlign w:val="center"/>
            <w:hideMark/>
          </w:tcPr>
          <w:p w:rsidR="00FA78E9" w:rsidRPr="00BD112D" w:rsidRDefault="00FA78E9" w:rsidP="00BD112D">
            <w:pPr>
              <w:widowControl/>
              <w:jc w:val="center"/>
              <w:rPr>
                <w:rFonts w:ascii="楷体" w:eastAsia="楷体" w:hAnsi="楷体" w:cs="宋体"/>
                <w:kern w:val="0"/>
                <w:szCs w:val="21"/>
              </w:rPr>
            </w:pPr>
            <w:r w:rsidRPr="00BD112D">
              <w:rPr>
                <w:rFonts w:ascii="楷体" w:eastAsia="楷体" w:hAnsi="楷体" w:cs="宋体" w:hint="eastAsia"/>
                <w:kern w:val="0"/>
                <w:szCs w:val="21"/>
              </w:rPr>
              <w:t>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安徽农业大学</w:t>
            </w:r>
          </w:p>
        </w:tc>
        <w:tc>
          <w:tcPr>
            <w:tcW w:w="1522" w:type="dxa"/>
            <w:shd w:val="clear" w:color="auto" w:fill="auto"/>
            <w:vAlign w:val="center"/>
            <w:hideMark/>
          </w:tcPr>
          <w:p w:rsidR="00FA78E9" w:rsidRPr="00BD112D" w:rsidRDefault="00FA78E9" w:rsidP="00FA78E9">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ebrary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sidRPr="00BD112D">
              <w:rPr>
                <w:rFonts w:ascii="楷体" w:eastAsia="楷体" w:hAnsi="楷体" w:cs="宋体" w:hint="eastAsia"/>
                <w:color w:val="000000"/>
                <w:kern w:val="0"/>
                <w:szCs w:val="21"/>
              </w:rPr>
              <w:t>语言文学</w:t>
            </w:r>
            <w:r>
              <w:rPr>
                <w:rFonts w:ascii="楷体" w:eastAsia="楷体" w:hAnsi="楷体" w:cs="宋体" w:hint="eastAsia"/>
                <w:color w:val="000000"/>
                <w:kern w:val="0"/>
                <w:szCs w:val="21"/>
              </w:rPr>
              <w:t>/</w:t>
            </w:r>
            <w:r w:rsidRPr="00BD112D">
              <w:rPr>
                <w:rFonts w:ascii="楷体" w:eastAsia="楷体" w:hAnsi="楷体" w:cs="宋体" w:hint="eastAsia"/>
                <w:color w:val="000000"/>
                <w:kern w:val="0"/>
                <w:szCs w:val="21"/>
              </w:rPr>
              <w:t>生命科学</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东北林业大学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netlibrary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东北农业大学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netlibrary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 xml:space="preserve">广西大学 </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2</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world ebook library、netlibrary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华南农业大学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ebsco</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华中农业大学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ebsco</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环境/文学</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 xml:space="preserve">江南大学 </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netlibrary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食品</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南京林业大学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netlibrary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多科学</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青岛农业大学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netlibrary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 xml:space="preserve">山东农业大学 </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noWrap/>
            <w:vAlign w:val="center"/>
            <w:hideMark/>
          </w:tcPr>
          <w:p w:rsidR="00FA78E9" w:rsidRPr="00BD112D" w:rsidRDefault="00FA78E9" w:rsidP="00BD112D">
            <w:pPr>
              <w:widowControl/>
              <w:jc w:val="left"/>
              <w:rPr>
                <w:rFonts w:ascii="楷体" w:eastAsia="楷体" w:hAnsi="楷体" w:cs="宋体"/>
                <w:color w:val="000000"/>
                <w:kern w:val="0"/>
                <w:szCs w:val="21"/>
              </w:rPr>
            </w:pPr>
            <w:r w:rsidRPr="00BD112D">
              <w:rPr>
                <w:rFonts w:ascii="楷体" w:eastAsia="楷体" w:hAnsi="楷体" w:cs="宋体" w:hint="eastAsia"/>
                <w:color w:val="000000"/>
                <w:kern w:val="0"/>
                <w:szCs w:val="21"/>
              </w:rPr>
              <w:t>netlibrary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西南大学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vAlign w:val="center"/>
            <w:hideMark/>
          </w:tcPr>
          <w:p w:rsidR="00FA78E9" w:rsidRPr="00BD112D" w:rsidRDefault="00FA78E9" w:rsidP="00FA78E9">
            <w:pPr>
              <w:widowControl/>
              <w:rPr>
                <w:rFonts w:ascii="楷体" w:eastAsia="楷体" w:hAnsi="楷体" w:cs="宋体"/>
                <w:color w:val="000000"/>
                <w:kern w:val="0"/>
                <w:szCs w:val="21"/>
              </w:rPr>
            </w:pPr>
            <w:r w:rsidRPr="00BD112D">
              <w:rPr>
                <w:rFonts w:ascii="楷体" w:eastAsia="楷体" w:hAnsi="楷体" w:cs="宋体" w:hint="eastAsia"/>
                <w:color w:val="000000"/>
                <w:kern w:val="0"/>
                <w:szCs w:val="21"/>
              </w:rPr>
              <w:t>E-brary</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r w:rsidR="00FA78E9" w:rsidRPr="00BD112D" w:rsidTr="00FA78E9">
        <w:trPr>
          <w:trHeight w:val="624"/>
        </w:trPr>
        <w:tc>
          <w:tcPr>
            <w:tcW w:w="722" w:type="dxa"/>
            <w:vAlign w:val="center"/>
          </w:tcPr>
          <w:p w:rsidR="00FA78E9" w:rsidRPr="00BD112D" w:rsidRDefault="00FA78E9" w:rsidP="00BD112D">
            <w:pPr>
              <w:pStyle w:val="a7"/>
              <w:widowControl/>
              <w:numPr>
                <w:ilvl w:val="0"/>
                <w:numId w:val="5"/>
              </w:numPr>
              <w:ind w:firstLineChars="0"/>
              <w:jc w:val="center"/>
              <w:rPr>
                <w:rFonts w:ascii="楷体" w:eastAsia="楷体" w:hAnsi="楷体" w:cs="宋体"/>
                <w:kern w:val="0"/>
                <w:szCs w:val="21"/>
              </w:rPr>
            </w:pPr>
          </w:p>
        </w:tc>
        <w:tc>
          <w:tcPr>
            <w:tcW w:w="1559" w:type="dxa"/>
            <w:shd w:val="clear" w:color="auto" w:fill="auto"/>
            <w:vAlign w:val="center"/>
            <w:hideMark/>
          </w:tcPr>
          <w:p w:rsidR="00FA78E9" w:rsidRPr="00BD112D" w:rsidRDefault="00FA78E9" w:rsidP="00BD112D">
            <w:pPr>
              <w:widowControl/>
              <w:jc w:val="left"/>
              <w:rPr>
                <w:rFonts w:ascii="楷体" w:eastAsia="楷体" w:hAnsi="楷体" w:cs="宋体"/>
                <w:kern w:val="0"/>
                <w:szCs w:val="21"/>
              </w:rPr>
            </w:pPr>
            <w:r w:rsidRPr="00BD112D">
              <w:rPr>
                <w:rFonts w:ascii="楷体" w:eastAsia="楷体" w:hAnsi="楷体" w:cs="宋体" w:hint="eastAsia"/>
                <w:kern w:val="0"/>
                <w:szCs w:val="21"/>
              </w:rPr>
              <w:t>中国海洋大学</w:t>
            </w:r>
          </w:p>
        </w:tc>
        <w:tc>
          <w:tcPr>
            <w:tcW w:w="1522" w:type="dxa"/>
            <w:shd w:val="clear" w:color="auto" w:fill="auto"/>
            <w:vAlign w:val="center"/>
            <w:hideMark/>
          </w:tcPr>
          <w:p w:rsidR="00FA78E9" w:rsidRPr="00BD112D" w:rsidRDefault="00FA78E9" w:rsidP="00BD112D">
            <w:pPr>
              <w:widowControl/>
              <w:jc w:val="center"/>
              <w:rPr>
                <w:rFonts w:ascii="楷体" w:eastAsia="楷体" w:hAnsi="楷体" w:cs="宋体"/>
                <w:color w:val="000000"/>
                <w:kern w:val="0"/>
                <w:szCs w:val="21"/>
              </w:rPr>
            </w:pPr>
            <w:r w:rsidRPr="00BD112D">
              <w:rPr>
                <w:rFonts w:ascii="楷体" w:eastAsia="楷体" w:hAnsi="楷体" w:cs="宋体" w:hint="eastAsia"/>
                <w:color w:val="000000"/>
                <w:kern w:val="0"/>
                <w:szCs w:val="21"/>
              </w:rPr>
              <w:t>1</w:t>
            </w:r>
          </w:p>
        </w:tc>
        <w:tc>
          <w:tcPr>
            <w:tcW w:w="2127" w:type="dxa"/>
            <w:shd w:val="clear" w:color="auto" w:fill="auto"/>
            <w:vAlign w:val="center"/>
            <w:hideMark/>
          </w:tcPr>
          <w:p w:rsidR="00FA78E9" w:rsidRPr="00BD112D" w:rsidRDefault="00FA78E9" w:rsidP="00FA78E9">
            <w:pPr>
              <w:widowControl/>
              <w:rPr>
                <w:rFonts w:ascii="楷体" w:eastAsia="楷体" w:hAnsi="楷体" w:cs="宋体"/>
                <w:color w:val="000000"/>
                <w:kern w:val="0"/>
                <w:szCs w:val="21"/>
              </w:rPr>
            </w:pPr>
            <w:r w:rsidRPr="00BD112D">
              <w:rPr>
                <w:rFonts w:ascii="楷体" w:eastAsia="楷体" w:hAnsi="楷体" w:cs="宋体" w:hint="eastAsia"/>
                <w:color w:val="000000"/>
                <w:kern w:val="0"/>
                <w:szCs w:val="21"/>
              </w:rPr>
              <w:t>World ebook</w:t>
            </w:r>
          </w:p>
        </w:tc>
        <w:tc>
          <w:tcPr>
            <w:tcW w:w="2163" w:type="dxa"/>
            <w:shd w:val="clear" w:color="auto" w:fill="auto"/>
            <w:noWrap/>
            <w:vAlign w:val="center"/>
            <w:hideMark/>
          </w:tcPr>
          <w:p w:rsidR="00FA78E9" w:rsidRPr="00BD112D" w:rsidRDefault="00FA78E9" w:rsidP="00FA78E9">
            <w:pPr>
              <w:widowControl/>
              <w:rPr>
                <w:rFonts w:ascii="楷体" w:eastAsia="楷体" w:hAnsi="楷体" w:cs="宋体"/>
                <w:color w:val="000000"/>
                <w:kern w:val="0"/>
                <w:szCs w:val="21"/>
              </w:rPr>
            </w:pPr>
            <w:r>
              <w:rPr>
                <w:rFonts w:ascii="楷体" w:eastAsia="楷体" w:hAnsi="楷体" w:cs="宋体" w:hint="eastAsia"/>
                <w:color w:val="000000"/>
                <w:kern w:val="0"/>
                <w:szCs w:val="21"/>
              </w:rPr>
              <w:t>多学科</w:t>
            </w:r>
          </w:p>
        </w:tc>
      </w:tr>
    </w:tbl>
    <w:p w:rsidR="00BD112D" w:rsidRDefault="00BD112D" w:rsidP="00CD0609">
      <w:pPr>
        <w:autoSpaceDE w:val="0"/>
        <w:autoSpaceDN w:val="0"/>
        <w:adjustRightInd w:val="0"/>
        <w:snapToGrid w:val="0"/>
        <w:spacing w:line="360" w:lineRule="auto"/>
        <w:rPr>
          <w:rFonts w:ascii="楷体_GB2312" w:eastAsia="楷体_GB2312" w:hAnsi="Calibri" w:cs="Times New Roman"/>
          <w:szCs w:val="21"/>
        </w:r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8150C0" w:rsidRDefault="008150C0" w:rsidP="00CD0609">
      <w:pPr>
        <w:autoSpaceDE w:val="0"/>
        <w:autoSpaceDN w:val="0"/>
        <w:adjustRightInd w:val="0"/>
        <w:snapToGrid w:val="0"/>
        <w:spacing w:line="360" w:lineRule="auto"/>
        <w:rPr>
          <w:rFonts w:ascii="楷体_GB2312" w:eastAsia="楷体_GB2312" w:hAnsi="Calibri" w:cs="Times New Roman"/>
          <w:szCs w:val="21"/>
        </w:rPr>
      </w:pPr>
    </w:p>
    <w:p w:rsidR="008150C0" w:rsidRDefault="008150C0" w:rsidP="00CD0609">
      <w:pPr>
        <w:autoSpaceDE w:val="0"/>
        <w:autoSpaceDN w:val="0"/>
        <w:adjustRightInd w:val="0"/>
        <w:snapToGrid w:val="0"/>
        <w:spacing w:line="360" w:lineRule="auto"/>
        <w:rPr>
          <w:rFonts w:ascii="楷体_GB2312" w:eastAsia="楷体_GB2312" w:hAnsi="Calibri" w:cs="Times New Roman"/>
          <w:szCs w:val="21"/>
        </w:rPr>
        <w:sectPr w:rsidR="008150C0" w:rsidSect="00D059E6">
          <w:footerReference w:type="default" r:id="rId16"/>
          <w:footerReference w:type="first" r:id="rId17"/>
          <w:pgSz w:w="11906" w:h="16838"/>
          <w:pgMar w:top="1440" w:right="1800" w:bottom="1440" w:left="1800" w:header="851" w:footer="992" w:gutter="0"/>
          <w:pgNumType w:start="0"/>
          <w:cols w:space="425"/>
          <w:docGrid w:type="lines" w:linePitch="312"/>
        </w:sectPr>
      </w:pPr>
    </w:p>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r>
        <w:rPr>
          <w:rFonts w:ascii="楷体_GB2312" w:eastAsia="楷体_GB2312" w:hAnsi="Calibri" w:cs="Times New Roman" w:hint="eastAsia"/>
          <w:szCs w:val="21"/>
        </w:rPr>
        <w:lastRenderedPageBreak/>
        <w:t>附表3:</w:t>
      </w:r>
      <w:r w:rsidR="00AF1DE6">
        <w:rPr>
          <w:rFonts w:ascii="楷体_GB2312" w:eastAsia="楷体_GB2312" w:hAnsi="Calibri" w:cs="Times New Roman" w:hint="eastAsia"/>
          <w:szCs w:val="21"/>
        </w:rPr>
        <w:t xml:space="preserve"> 2010年-2015年农业高校经费统计</w:t>
      </w:r>
    </w:p>
    <w:tbl>
      <w:tblPr>
        <w:tblW w:w="15370" w:type="dxa"/>
        <w:tblInd w:w="103" w:type="dxa"/>
        <w:tblLayout w:type="fixed"/>
        <w:tblLook w:val="04A0" w:firstRow="1" w:lastRow="0" w:firstColumn="1" w:lastColumn="0" w:noHBand="0" w:noVBand="1"/>
      </w:tblPr>
      <w:tblGrid>
        <w:gridCol w:w="572"/>
        <w:gridCol w:w="1246"/>
        <w:gridCol w:w="903"/>
        <w:gridCol w:w="904"/>
        <w:gridCol w:w="903"/>
        <w:gridCol w:w="904"/>
        <w:gridCol w:w="903"/>
        <w:gridCol w:w="904"/>
        <w:gridCol w:w="903"/>
        <w:gridCol w:w="904"/>
        <w:gridCol w:w="903"/>
        <w:gridCol w:w="904"/>
        <w:gridCol w:w="903"/>
        <w:gridCol w:w="904"/>
        <w:gridCol w:w="903"/>
        <w:gridCol w:w="904"/>
        <w:gridCol w:w="903"/>
      </w:tblGrid>
      <w:tr w:rsidR="008E33EA" w:rsidRPr="008150C0" w:rsidTr="008E33EA">
        <w:trPr>
          <w:trHeight w:val="497"/>
        </w:trPr>
        <w:tc>
          <w:tcPr>
            <w:tcW w:w="572" w:type="dxa"/>
            <w:tcBorders>
              <w:top w:val="single" w:sz="4" w:space="0" w:color="auto"/>
              <w:left w:val="single" w:sz="4" w:space="0" w:color="auto"/>
              <w:bottom w:val="single" w:sz="4" w:space="0" w:color="auto"/>
              <w:right w:val="single" w:sz="4" w:space="0" w:color="auto"/>
            </w:tcBorders>
          </w:tcPr>
          <w:p w:rsidR="008E33EA" w:rsidRDefault="008E33EA" w:rsidP="008E33EA">
            <w:pPr>
              <w:jc w:val="center"/>
              <w:rPr>
                <w:rFonts w:ascii="楷体" w:eastAsia="楷体" w:hAnsi="楷体"/>
                <w:color w:val="000000"/>
                <w:sz w:val="18"/>
                <w:szCs w:val="18"/>
              </w:rPr>
            </w:pPr>
            <w:r>
              <w:rPr>
                <w:rFonts w:ascii="楷体" w:eastAsia="楷体" w:hAnsi="楷体" w:hint="eastAsia"/>
                <w:color w:val="000000"/>
                <w:sz w:val="18"/>
                <w:szCs w:val="18"/>
              </w:rPr>
              <w:t>序号</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学校名称</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2014年文献总经费</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2013年文献总经费</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2012年文献总经费</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2011年文献总经费</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2010年文献总经费</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2014年电子资源经费</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2013年电子资源经费</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2012年电子资源经费</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2011年电子资源经费</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2010年电子资源经费</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2014年占比</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2013年占比</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2012年占比</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2011年占比</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8E33EA" w:rsidRDefault="008E33EA">
            <w:pPr>
              <w:rPr>
                <w:rFonts w:ascii="楷体" w:eastAsia="楷体" w:hAnsi="楷体" w:cs="宋体"/>
                <w:color w:val="000000"/>
                <w:sz w:val="18"/>
                <w:szCs w:val="18"/>
              </w:rPr>
            </w:pPr>
            <w:r>
              <w:rPr>
                <w:rFonts w:ascii="楷体" w:eastAsia="楷体" w:hAnsi="楷体" w:hint="eastAsia"/>
                <w:color w:val="000000"/>
                <w:sz w:val="18"/>
                <w:szCs w:val="18"/>
              </w:rPr>
              <w:t>2010年占比</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安徽农业大学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1710000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北京林业大学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6367500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2320000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36.44%</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北京农学院</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3408855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1441596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42.29%</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大连海洋大学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1348401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1043008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747647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128445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404000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188000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9.53%</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38.73%</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25.15%</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东北林业大学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5027104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2374676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47.24%</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东北农业大学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3766635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2622005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1349141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35.82%</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福建农林大学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14822367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8876154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8636665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4472199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8189385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9485051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3680800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4211171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1683266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3286603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63.99%</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41.47%</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48.76%</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37.64%</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40.13%</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甘肃农业大学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2230000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1000000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44.84%</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广西大学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12294094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12052434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7091108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8567668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9163701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3030190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69.69%</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76.03%</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42.73%</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海南大学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9870102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5802205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4103500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4663739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2944830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1787000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47.25%</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50.75%</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43.55%</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黑龙江八一农垦大学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1491580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1435250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504331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441014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33.81%</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30.73%</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华南农业大学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9484683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10014473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5538904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4726396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58.40%</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47.20%</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华中农业大学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7261201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6504000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3714547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3200000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51.16%</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49.20%</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江南大学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14442454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14095866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14497758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10352192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9175503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7735645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8312122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7059410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5095000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4783683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53.56%</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58.97%</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48.69%</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49.22%</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52.14%</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南京林业大学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6900376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6691778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6166885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6870002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5560226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3845549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3415970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2865395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3859669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2056838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55.73%</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51.05%</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46.46%</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56.18%</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36.99%</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南京农业大学图书馆</w:t>
            </w:r>
            <w:r w:rsidRPr="008E33EA">
              <w:rPr>
                <w:rFonts w:hint="eastAsia"/>
                <w:color w:val="000000"/>
                <w:sz w:val="15"/>
                <w:szCs w:val="15"/>
              </w:rPr>
              <w:t>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8646612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8192748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6666647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2877011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3060711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1528818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33.27%</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37.36%</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22.93%</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山东农业大学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7149481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6405696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5009086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4254518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3132449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2686420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59.51%</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48.90%</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53.63%</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single" w:sz="4" w:space="0" w:color="auto"/>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山西农业大学</w:t>
            </w:r>
            <w:r w:rsidRPr="008E33EA">
              <w:rPr>
                <w:rFonts w:hint="eastAsia"/>
                <w:color w:val="000000"/>
                <w:sz w:val="15"/>
                <w:szCs w:val="15"/>
              </w:rPr>
              <w:t>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1580874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926131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58.58%</w:t>
            </w:r>
          </w:p>
        </w:tc>
      </w:tr>
      <w:tr w:rsidR="008E33EA" w:rsidRPr="0088690A" w:rsidTr="008E33EA">
        <w:trPr>
          <w:trHeight w:val="248"/>
        </w:trPr>
        <w:tc>
          <w:tcPr>
            <w:tcW w:w="572" w:type="dxa"/>
            <w:tcBorders>
              <w:top w:val="single" w:sz="4" w:space="0" w:color="auto"/>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上海海洋大学</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8950324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6198791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5389608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3837512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3752496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1893439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1665662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42.88%</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30.55%</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30.91%</w:t>
            </w:r>
          </w:p>
        </w:tc>
      </w:tr>
      <w:tr w:rsidR="008E33EA" w:rsidRPr="0088690A" w:rsidTr="008E33EA">
        <w:trPr>
          <w:trHeight w:val="248"/>
        </w:trPr>
        <w:tc>
          <w:tcPr>
            <w:tcW w:w="572" w:type="dxa"/>
            <w:tcBorders>
              <w:top w:val="single" w:sz="4" w:space="0" w:color="auto"/>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沈阳农业大学</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3260000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3712144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3198494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1560000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1580000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1450000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47.85%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42.56%</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45.33%</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single" w:sz="4" w:space="0" w:color="auto"/>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四川农业大学</w:t>
            </w:r>
            <w:r w:rsidRPr="008E33EA">
              <w:rPr>
                <w:rFonts w:hint="eastAsia"/>
                <w:color w:val="000000"/>
                <w:sz w:val="15"/>
                <w:szCs w:val="15"/>
              </w:rPr>
              <w:t>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8099898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9194989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7998174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9117662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8588750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3419227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3487090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2054618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1969773 </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42.21%</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37.92%</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22.53%</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22.93%</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天津农学院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5969356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3137044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14359000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476000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560000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7.97%</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17.85%</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西北农林科技大学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14027859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13767092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8032269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8680385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9791649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8968370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8820021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5730688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5244113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5404720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63.93%</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64.07%</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71.35%</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60.41%</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55.20%</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西南大学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20415241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11497101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12316349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12571205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59000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6513508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61.58%</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0.51%</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52.89%</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西南林业大学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2858359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555000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19.42%</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扬州大学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12521533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11082809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11243409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7360837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7109134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5266628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5619526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246095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56.78%</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47.52%</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49.98%</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3.34%</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云南农业大学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1783811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771768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43.27%</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浙江海洋学院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6689000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6155000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5202000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10664600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7735250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2650000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1840000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1750000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1116000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1748500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39.62%</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29.89%</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33.64%</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10.46%</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22.60%</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浙江农林大学</w:t>
            </w:r>
            <w:r w:rsidRPr="008E33EA">
              <w:rPr>
                <w:rFonts w:hint="eastAsia"/>
                <w:color w:val="000000"/>
                <w:sz w:val="15"/>
                <w:szCs w:val="15"/>
              </w:rPr>
              <w:t>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5368224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5021715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4962415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4401073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3722870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2285701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1514348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1815643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1446190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742072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42.58%</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30.16%</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36.59%</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32.86%</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19.93%</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中国海洋大学</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14516800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5347000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36.83%</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中国农业大学图书馆</w:t>
            </w:r>
            <w:r w:rsidRPr="008E33EA">
              <w:rPr>
                <w:rFonts w:hint="eastAsia"/>
                <w:color w:val="000000"/>
                <w:sz w:val="15"/>
                <w:szCs w:val="15"/>
              </w:rPr>
              <w:t>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12951200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12950700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13430900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11047100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10680000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6683900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7326400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7452685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5358300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4586500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51.61%</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56.57%</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55.49%</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48.50%</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jc w:val="right"/>
              <w:rPr>
                <w:rFonts w:ascii="楷体" w:eastAsia="楷体" w:hAnsi="楷体" w:cs="宋体"/>
                <w:color w:val="000000"/>
                <w:sz w:val="15"/>
                <w:szCs w:val="15"/>
              </w:rPr>
            </w:pPr>
            <w:r w:rsidRPr="008E33EA">
              <w:rPr>
                <w:rFonts w:ascii="楷体" w:eastAsia="楷体" w:hAnsi="楷体" w:hint="eastAsia"/>
                <w:color w:val="000000"/>
                <w:sz w:val="15"/>
                <w:szCs w:val="15"/>
              </w:rPr>
              <w:t>42.94%</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numPr>
                <w:ilvl w:val="0"/>
                <w:numId w:val="6"/>
              </w:numPr>
              <w:ind w:firstLineChars="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仲恺农业工程学院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1948607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768607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39.44%</w:t>
            </w:r>
          </w:p>
        </w:tc>
        <w:tc>
          <w:tcPr>
            <w:tcW w:w="904"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　</w:t>
            </w:r>
          </w:p>
        </w:tc>
      </w:tr>
      <w:tr w:rsidR="008E33EA" w:rsidRPr="0088690A" w:rsidTr="008E33EA">
        <w:trPr>
          <w:trHeight w:val="248"/>
        </w:trPr>
        <w:tc>
          <w:tcPr>
            <w:tcW w:w="572" w:type="dxa"/>
            <w:tcBorders>
              <w:top w:val="nil"/>
              <w:left w:val="single" w:sz="4" w:space="0" w:color="auto"/>
              <w:bottom w:val="single" w:sz="4" w:space="0" w:color="auto"/>
              <w:right w:val="single" w:sz="4" w:space="0" w:color="auto"/>
            </w:tcBorders>
          </w:tcPr>
          <w:p w:rsidR="008E33EA" w:rsidRPr="008E33EA" w:rsidRDefault="008E33EA" w:rsidP="008E33EA">
            <w:pPr>
              <w:pStyle w:val="a7"/>
              <w:ind w:left="420" w:firstLineChars="0" w:firstLine="0"/>
              <w:jc w:val="center"/>
              <w:rPr>
                <w:rFonts w:ascii="楷体" w:eastAsia="楷体" w:hAnsi="楷体"/>
                <w:color w:val="000000"/>
                <w:sz w:val="18"/>
                <w:szCs w:val="18"/>
              </w:rPr>
            </w:pPr>
          </w:p>
        </w:tc>
        <w:tc>
          <w:tcPr>
            <w:tcW w:w="1246" w:type="dxa"/>
            <w:tcBorders>
              <w:top w:val="nil"/>
              <w:left w:val="single" w:sz="4" w:space="0" w:color="auto"/>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平均值</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9079353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8609940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7523865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6900036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6281448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4783398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3973528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3765097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2753732 </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 xml:space="preserve">2443427 </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46.89%</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43.31%</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47.39%</w:t>
            </w:r>
          </w:p>
        </w:tc>
        <w:tc>
          <w:tcPr>
            <w:tcW w:w="904"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39.62%</w:t>
            </w:r>
          </w:p>
        </w:tc>
        <w:tc>
          <w:tcPr>
            <w:tcW w:w="903" w:type="dxa"/>
            <w:tcBorders>
              <w:top w:val="nil"/>
              <w:left w:val="nil"/>
              <w:bottom w:val="single" w:sz="4" w:space="0" w:color="auto"/>
              <w:right w:val="single" w:sz="4" w:space="0" w:color="auto"/>
            </w:tcBorders>
            <w:shd w:val="clear" w:color="auto" w:fill="auto"/>
            <w:noWrap/>
            <w:vAlign w:val="center"/>
            <w:hideMark/>
          </w:tcPr>
          <w:p w:rsidR="008E33EA" w:rsidRPr="008E33EA" w:rsidRDefault="008E33EA">
            <w:pPr>
              <w:rPr>
                <w:rFonts w:ascii="楷体" w:eastAsia="楷体" w:hAnsi="楷体" w:cs="宋体"/>
                <w:color w:val="000000"/>
                <w:sz w:val="15"/>
                <w:szCs w:val="15"/>
              </w:rPr>
            </w:pPr>
            <w:r w:rsidRPr="008E33EA">
              <w:rPr>
                <w:rFonts w:ascii="楷体" w:eastAsia="楷体" w:hAnsi="楷体" w:hint="eastAsia"/>
                <w:color w:val="000000"/>
                <w:sz w:val="15"/>
                <w:szCs w:val="15"/>
              </w:rPr>
              <w:t>36.28%</w:t>
            </w:r>
          </w:p>
        </w:tc>
      </w:tr>
    </w:tbl>
    <w:p w:rsidR="00FA78E9" w:rsidRDefault="00FA78E9" w:rsidP="00CD0609">
      <w:pPr>
        <w:autoSpaceDE w:val="0"/>
        <w:autoSpaceDN w:val="0"/>
        <w:adjustRightInd w:val="0"/>
        <w:snapToGrid w:val="0"/>
        <w:spacing w:line="360" w:lineRule="auto"/>
        <w:rPr>
          <w:rFonts w:ascii="楷体_GB2312" w:eastAsia="楷体_GB2312" w:hAnsi="Calibri" w:cs="Times New Roman"/>
          <w:szCs w:val="21"/>
        </w:rPr>
      </w:pPr>
    </w:p>
    <w:p w:rsidR="003215B5" w:rsidRDefault="003215B5" w:rsidP="00CD0609">
      <w:pPr>
        <w:autoSpaceDE w:val="0"/>
        <w:autoSpaceDN w:val="0"/>
        <w:adjustRightInd w:val="0"/>
        <w:snapToGrid w:val="0"/>
        <w:spacing w:line="360" w:lineRule="auto"/>
        <w:rPr>
          <w:rFonts w:ascii="楷体_GB2312" w:eastAsia="楷体_GB2312" w:hAnsi="Calibri" w:cs="Times New Roman"/>
          <w:szCs w:val="21"/>
        </w:rPr>
      </w:pPr>
    </w:p>
    <w:p w:rsidR="003215B5" w:rsidRDefault="003215B5" w:rsidP="00CD0609">
      <w:pPr>
        <w:autoSpaceDE w:val="0"/>
        <w:autoSpaceDN w:val="0"/>
        <w:adjustRightInd w:val="0"/>
        <w:snapToGrid w:val="0"/>
        <w:spacing w:line="360" w:lineRule="auto"/>
        <w:rPr>
          <w:rFonts w:ascii="楷体_GB2312" w:eastAsia="楷体_GB2312" w:hAnsi="Calibri" w:cs="Times New Roman"/>
          <w:szCs w:val="21"/>
        </w:rPr>
      </w:pPr>
    </w:p>
    <w:p w:rsidR="003215B5" w:rsidRDefault="003215B5" w:rsidP="00CD0609">
      <w:pPr>
        <w:autoSpaceDE w:val="0"/>
        <w:autoSpaceDN w:val="0"/>
        <w:adjustRightInd w:val="0"/>
        <w:snapToGrid w:val="0"/>
        <w:spacing w:line="360" w:lineRule="auto"/>
        <w:rPr>
          <w:rFonts w:ascii="楷体_GB2312" w:eastAsia="楷体_GB2312" w:hAnsi="Calibri" w:cs="Times New Roman"/>
          <w:szCs w:val="21"/>
        </w:rPr>
      </w:pPr>
    </w:p>
    <w:p w:rsidR="003215B5" w:rsidRDefault="003215B5" w:rsidP="00CD0609">
      <w:pPr>
        <w:autoSpaceDE w:val="0"/>
        <w:autoSpaceDN w:val="0"/>
        <w:adjustRightInd w:val="0"/>
        <w:snapToGrid w:val="0"/>
        <w:spacing w:line="360" w:lineRule="auto"/>
        <w:rPr>
          <w:rFonts w:ascii="楷体_GB2312" w:eastAsia="楷体_GB2312" w:hAnsi="Calibri" w:cs="Times New Roman"/>
          <w:szCs w:val="21"/>
        </w:rPr>
      </w:pPr>
    </w:p>
    <w:p w:rsidR="003215B5" w:rsidRDefault="003215B5" w:rsidP="00CD0609">
      <w:pPr>
        <w:autoSpaceDE w:val="0"/>
        <w:autoSpaceDN w:val="0"/>
        <w:adjustRightInd w:val="0"/>
        <w:snapToGrid w:val="0"/>
        <w:spacing w:line="360" w:lineRule="auto"/>
        <w:rPr>
          <w:rFonts w:ascii="楷体_GB2312" w:eastAsia="楷体_GB2312" w:hAnsi="Calibri" w:cs="Times New Roman"/>
          <w:szCs w:val="21"/>
        </w:rPr>
      </w:pPr>
    </w:p>
    <w:p w:rsidR="003215B5" w:rsidRDefault="003215B5" w:rsidP="00CD0609">
      <w:pPr>
        <w:autoSpaceDE w:val="0"/>
        <w:autoSpaceDN w:val="0"/>
        <w:adjustRightInd w:val="0"/>
        <w:snapToGrid w:val="0"/>
        <w:spacing w:line="360" w:lineRule="auto"/>
        <w:rPr>
          <w:rFonts w:ascii="楷体_GB2312" w:eastAsia="楷体_GB2312" w:hAnsi="Calibri" w:cs="Times New Roman"/>
          <w:szCs w:val="21"/>
        </w:rPr>
      </w:pPr>
    </w:p>
    <w:p w:rsidR="003215B5" w:rsidRPr="00AF1DE6" w:rsidRDefault="003215B5" w:rsidP="003215B5">
      <w:pPr>
        <w:rPr>
          <w:rFonts w:ascii="楷体" w:eastAsia="楷体" w:hAnsi="楷体"/>
        </w:rPr>
      </w:pPr>
      <w:r>
        <w:rPr>
          <w:rFonts w:hint="eastAsia"/>
        </w:rPr>
        <w:lastRenderedPageBreak/>
        <w:t xml:space="preserve"> </w:t>
      </w:r>
      <w:r w:rsidRPr="00AF1DE6">
        <w:rPr>
          <w:rFonts w:ascii="楷体" w:eastAsia="楷体" w:hAnsi="楷体" w:hint="eastAsia"/>
        </w:rPr>
        <w:t xml:space="preserve">附件 4 : </w:t>
      </w:r>
      <w:r w:rsidR="004519A8">
        <w:rPr>
          <w:rFonts w:ascii="楷体" w:eastAsia="楷体" w:hAnsi="楷体" w:hint="eastAsia"/>
        </w:rPr>
        <w:t>外国教材</w:t>
      </w:r>
      <w:r w:rsidRPr="00AF1DE6">
        <w:rPr>
          <w:rFonts w:ascii="楷体" w:eastAsia="楷体" w:hAnsi="楷体" w:hint="eastAsia"/>
        </w:rPr>
        <w:t>中心CABI电子书使用统计</w:t>
      </w:r>
      <w:r w:rsidR="004519A8">
        <w:rPr>
          <w:rFonts w:ascii="楷体" w:eastAsia="楷体" w:hAnsi="楷体" w:hint="eastAsia"/>
        </w:rPr>
        <w:t>汇总</w:t>
      </w:r>
    </w:p>
    <w:tbl>
      <w:tblPr>
        <w:tblW w:w="14622" w:type="dxa"/>
        <w:tblInd w:w="87" w:type="dxa"/>
        <w:tblLook w:val="04A0" w:firstRow="1" w:lastRow="0" w:firstColumn="1" w:lastColumn="0" w:noHBand="0" w:noVBand="1"/>
      </w:tblPr>
      <w:tblGrid>
        <w:gridCol w:w="427"/>
        <w:gridCol w:w="2268"/>
        <w:gridCol w:w="10702"/>
        <w:gridCol w:w="1274"/>
      </w:tblGrid>
      <w:tr w:rsidR="003215B5" w:rsidRPr="00697765" w:rsidTr="00960D3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4519A8">
            <w:pPr>
              <w:widowControl/>
              <w:jc w:val="left"/>
              <w:rPr>
                <w:rFonts w:ascii="楷体" w:eastAsia="楷体" w:hAnsi="楷体" w:cs="宋体"/>
                <w:b/>
                <w:bCs/>
                <w:color w:val="000000"/>
                <w:kern w:val="0"/>
                <w:szCs w:val="21"/>
              </w:rPr>
            </w:pPr>
            <w:r w:rsidRPr="00EC6573">
              <w:rPr>
                <w:rFonts w:ascii="楷体" w:eastAsia="楷体" w:hAnsi="楷体" w:cs="宋体" w:hint="eastAsia"/>
                <w:b/>
                <w:bCs/>
                <w:color w:val="000000"/>
                <w:kern w:val="0"/>
                <w:szCs w:val="21"/>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b/>
                <w:bCs/>
                <w:color w:val="000000"/>
                <w:kern w:val="0"/>
                <w:szCs w:val="21"/>
              </w:rPr>
            </w:pPr>
            <w:r w:rsidRPr="00EC6573">
              <w:rPr>
                <w:rFonts w:ascii="楷体" w:eastAsia="楷体" w:hAnsi="楷体" w:cs="宋体" w:hint="eastAsia"/>
                <w:b/>
                <w:bCs/>
                <w:color w:val="000000"/>
                <w:kern w:val="0"/>
                <w:szCs w:val="21"/>
              </w:rPr>
              <w:t>ISBN</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b/>
                <w:bCs/>
                <w:color w:val="000000"/>
                <w:kern w:val="0"/>
                <w:szCs w:val="21"/>
              </w:rPr>
            </w:pPr>
            <w:r w:rsidRPr="00EC6573">
              <w:rPr>
                <w:rFonts w:ascii="楷体" w:eastAsia="楷体" w:hAnsi="楷体" w:cs="宋体" w:hint="eastAsia"/>
                <w:b/>
                <w:bCs/>
                <w:color w:val="000000"/>
                <w:kern w:val="0"/>
                <w:szCs w:val="21"/>
              </w:rPr>
              <w:t>OvidSP Product Description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D0373" w:rsidRDefault="003215B5" w:rsidP="004519A8">
            <w:pPr>
              <w:widowControl/>
              <w:jc w:val="center"/>
              <w:rPr>
                <w:rFonts w:ascii="楷体" w:eastAsia="楷体" w:hAnsi="楷体" w:cs="宋体"/>
                <w:b/>
                <w:bCs/>
                <w:color w:val="000000"/>
                <w:kern w:val="0"/>
                <w:szCs w:val="21"/>
              </w:rPr>
            </w:pPr>
            <w:r w:rsidRPr="00EC6573">
              <w:rPr>
                <w:rFonts w:ascii="楷体" w:eastAsia="楷体" w:hAnsi="楷体" w:cs="宋体" w:hint="eastAsia"/>
                <w:b/>
                <w:bCs/>
                <w:color w:val="000000"/>
                <w:kern w:val="0"/>
                <w:szCs w:val="21"/>
              </w:rPr>
              <w:t>Requests</w:t>
            </w:r>
          </w:p>
          <w:p w:rsidR="003215B5" w:rsidRPr="00EC6573" w:rsidRDefault="007D0373" w:rsidP="004519A8">
            <w:pPr>
              <w:widowControl/>
              <w:jc w:val="center"/>
              <w:rPr>
                <w:rFonts w:ascii="楷体" w:eastAsia="楷体" w:hAnsi="楷体" w:cs="宋体"/>
                <w:b/>
                <w:bCs/>
                <w:color w:val="000000"/>
                <w:kern w:val="0"/>
                <w:szCs w:val="21"/>
              </w:rPr>
            </w:pPr>
            <w:r>
              <w:rPr>
                <w:rFonts w:ascii="楷体" w:eastAsia="楷体" w:hAnsi="楷体" w:cs="宋体" w:hint="eastAsia"/>
                <w:b/>
                <w:bCs/>
                <w:color w:val="000000"/>
                <w:kern w:val="0"/>
                <w:szCs w:val="21"/>
              </w:rPr>
              <w:t>（Requests of CAU）</w:t>
            </w:r>
            <w:r w:rsidR="003215B5" w:rsidRPr="00EC6573">
              <w:rPr>
                <w:rFonts w:ascii="楷体" w:eastAsia="楷体" w:hAnsi="楷体" w:cs="宋体" w:hint="eastAsia"/>
                <w:b/>
                <w:bCs/>
                <w:color w:val="000000"/>
                <w:kern w:val="0"/>
                <w:szCs w:val="21"/>
              </w:rPr>
              <w:t xml:space="preserve">　</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978-1-8459-3843-7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African Seed Enterprises: Sowing the Seeds of Food Security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59</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978-1-8459-3672-3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Tropical Fruits, Volume 1</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40</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978-1-7806-4103-4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Greenhouse Technology and Management</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34(9)</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978-1-8459-3826-0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Blueberries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28(17)</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978-1-8459-3819-2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Agricultural Seed Production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25(6)</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978-1-8459-3983-0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Animal Abuse: Helping Animals and People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24(2)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978-1-8459-3701-0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Avocado, The: Botany, Production and Uses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23(4)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978-1-8459-3791-1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Raspberries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978-1-7806-4100-3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Agricultural Markets in a Transitioning Economy: An Albanian Case Study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20(1)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978-1-8459-3798-0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Amino Acids in Human Nutrition and Health</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19</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978-1-8459-3984-7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Bacteriophages in Health and Disease: Advances in Molecular and Cellular Microbiology 24</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17</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978-1-8459-3761-4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Agrobiodiversity Management for Food Security: A Critical Review</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14(3)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978-1-7806-4089-1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Geographic Health Data: Fundamental Techniques for Analysis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978-1-8459-3885-7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Biofuel Crops: Production, Physiology and Genetics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11(3)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978-1-8459-3973-1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Handbook for the Sheep Clinician, A</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978-1-8459-3660-0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Medical Tourism</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978-1-8459-3767-6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Peppers: Botany, Production and Uses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978-1-8459-3797-3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Soil Hydrology, Land Use and Agriculture: Measurement and Modelling</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978-1-8459-3943-4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Antimicrobial Drug Discovery: Emerging Strategies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10</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978-1-8459-3557-3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Economics of Regulation in Agriculture, The: Compliance with Public and Private Standards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10</w:t>
            </w:r>
          </w:p>
        </w:tc>
      </w:tr>
      <w:tr w:rsidR="007D0373" w:rsidRPr="00697765" w:rsidTr="00AB5CE6">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978-1-7806-4093-8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Phytophthora: A Global Perspective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10(1)</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978-1-8459-3532-0</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Architecture and Biology of Soils, The: Life in Inner Space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9</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978-1-8459-3676-1</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Chemical Food Safety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9</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978-1-7806-4041-9</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Innovation in Agri-Food Clusters: Theory and Case Studies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9</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978-1-8459-3716-4</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African Smallholders: Food Crops, Markets and Policy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8</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978-1-8459-3845-1</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Business and management of Ocean Cruises, The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8</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978-1-8459-3923-6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Cultural Tourism</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8</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978-0-8519-9686-8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Integrated Pest Management: Potential, Constraints and Challenges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8</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978-1-8459-3829-1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Potential Invasive Pests of Agricultural Crops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8</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978-1-8459-3099-8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Agrobiodiversity Conservation: Securing the Diversity of Crop Wild Relatives and Landraces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7</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978-1-8459-3766-9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Biology and Breeding of Food Legumes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7(1)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978-1-8459-3680-8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Crop Stress Management and Global Climate Change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7</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978-1-8459-3997-7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Dairy Herd Health</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7(4)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978-1-7806-4026-6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Silviculture of Trees Used in British Forestry, The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7</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978-1-8459-3753-9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Tropical Vegetable Production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7</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978-1-8459-3681-5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Zoonotic Pathogens in the Food Chain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7</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978-1-8459-3651-8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Aquaculture and Fisheries Biotechnology: Genetic Approaches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978-1-7806-4231-4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Banana Systems in the Humid Highlands of Sub-Saharan Africa: Enhancing Resilience and Productivity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978-1-7806-4257-4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Biological Control Programmes in Canada 2001-2012</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978-1-8459-3242-8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Biology of Mosquitoes Volume 3, The: Transmission of Viruses and Interactions with Bacteria</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978-1-8459-3929-8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Disaster Management: Medical Preparedness, Response and Homeland Security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978-1-8459-3940-3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Genetics of the Dog, The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978-1-7806-4040-2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Infectious Forest Diseases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978-1-8459-3907-6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Invasive Alien Plants: An Ecological Appraisal for the Indian Subcontinent</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978-1-8459-3671-6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Natural Products in Plant Pest Management</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5CE6">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978-1-8459-3759-1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Parasitic Nematodes: Molecular Biology, Biochemistry and Immunology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978-1-8459-3825-3</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Peppers: Vegetable and Spice Capsicums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978-1-7806-4011-2</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Rabbit Production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978-1-8459-3894-9</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Restoring Community Connections to the Land: Building Resilience through Communitybased Rangeland Management in China and Mongolia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6(1)</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978-1-7806-4019-8</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Crop Plant Anatomy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978-1-8459-3828-4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Food and Financial Crises in Sub-Saharan Africa, The: Origins, Impacts and Policy Implications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978-1-8459-3352-4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Labels of Origin for Food: Local Development, Global Recognition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978-1-8459-3814-7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Life at Extremes: Environments, Organisms and Strategies for Survival</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978-1-8459-3931-1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Managing Outdoor Recreation: Case Studies in the National Parks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978-1-8459-3687-7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Molecular and Physiological Basis of Nematode Survival</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978-1-8459-3769-0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Natural Antimicrobials in Food Safety and Quality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978-1-8459-3742-3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Planning for Tourism, Leisure and Sustainability: International Case Studies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978-1-7806-4042-6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Sustainable Animal Agriculture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978-1-8459-3807-9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Tuberculosis: Laboratory Diagnosis and Treatment Strategies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978-1-8459-3803-1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Urban Pest Management: An Environmental Perspective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5(1)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978-1-8459-3824-6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Alternative Systems for Poultry - Health, Welfare and Productivity: Poultry Science Symposium Series Volume Thirty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978-1-7806-4176-8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Animal Nutrition with Transgenic Plants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978-1-8459-3951-9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Arthropod Pests of Horticultural Crops in Tropical Asia</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978-1-8459-3666-2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Biology of Hevea Rubber</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978-1-7806-4101-0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Camel Meat and Meat Products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978-1-8459-3714-0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Combating Micronutrient Deficiencies: Food-based Approaches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978-1-8459-3665-5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Conservation Tourism</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978-1-8459-3818-5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Disease Resistance in Wheat</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5CE6">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978-1-8459-3835-2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Dogs, Zoonoses and Public Health</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978-1-8459-3664-8</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External Parasites of Small Ruminants: A Practical Guide to their Prevention and Control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978-1-8459-3554-2</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Fish Diseases and Disorders, Volume 3: Viral, Bacterial and Fungal Infections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978-1-8459-3841-3</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Food Security in Africa and Asia: Strategies for Small-Scale Agricultural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978-1-8459-3905-2</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Fungicide Resistance in Crop Protection: Risk and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4(1)</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978-1-8459-3528-3</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Health-Promoting Properties of Fruit and Vegetables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978-1-8459-3804-8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Lyme Disease: An Evidence-based Approach</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978-1-8459-3956-4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Microbial Biotechnology: Energy and Environment</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978-1-8459-3970-0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Modeling Physiology of Crop Development, Growth and Yield</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978-1-8459-3758-4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Nutrition and Feeding of Organic Cattle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978-1-8459-3910-6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Nutrition and Physical Activity in Inflammatory Diseases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978-9-2510-7022-2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Plant Mutation Breeding and Biotechnology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978-1-8459-3607-5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Small-scale Fisheries Management: Frameworks and Approaches for the Developing World</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978-1-8459-3822-2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Temperature Adaptation in a Changing Climate: Nature at Risk</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978-1-8459-3649-5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Vegetable Production and Marketing in Africa: Socio-Economic Research</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4</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978-1-8459-3937-3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Deafness in Dogs and Cats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978-1-8459-3548-1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Disapperaring Destinations: Climate Change and Future Challenges for Coastal Tourism</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978-1-8459-3882-6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Farm Animal Medicine and Surgery: For Small Animal Veterinarians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978-1-8459-3839-0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Farm Business Management: Analysis of Farming Systems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978-1-8459-3847-5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Farm Incomes, Wealth and Agricultural Policy: Filling the CAP's Core Information Gap</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978-1-8459-3849-9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Goat Meat Production and Quality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978-1-8459-3809-3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Grassland Productivity and Ecosystem Services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978-1-7806-4223-9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Green Biosynthesis of Nanoparticles: Mechanisms and Applications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978-1-8459-3635-8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Insect Pests in Tropical Forestry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978-1-8459-3696-9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International Volunteer Tourism: Integrating Travellers and Communities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5CE6">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978-1-7806-4099-0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Living with the Trees of Life: Towards the Transformation of Tropical Agriculture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3(3)</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978-1-7806-4088-4</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Managing Water and Agroecosystems for Food Security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5CE6">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978-1-8459-3745-4</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Maternal and Perinatal Health in Developing Countries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978-1-7806-4162-1</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Meningitis: Cellular and Molecular Basis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978-1-7806-4233-8</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Natural Antioxidants and Biocides from Wild Medicinal Plants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978-1-8459-3801-7</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Plant Evolution and the Origin of Crop Species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978-1-8459-3995-3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Plant Stress Physiology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978-1-8459-3833-8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Poisoning by Plants, Mycotoxins, and Related Toxins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3(1)</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978-1-7806-4388-5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Promoting Investment in Agriculture for Increased Production and Productivity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978-1-7806-4226-0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Quinoa: Botany, Production and Uses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978-1-8459-3853-6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Ticks and Tick-borne Diseases: Geographical Distribution and Control Strategies in the Euro-Asia Region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978-1-8459-3794-2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Tourist Destination Governance: Practice, Theory and Issues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978-1-7806-4247-5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Trichoderma: Biology and Applications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3</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978-1-8459-3810-9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Beneficial Microorganisms in Agriculture, Food and the Environment: Safety Assessment and Regulation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978-1-8459-3986-1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Biological and Environmental Control of Disease Vectors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978-1-8459-3762-1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Destination Marketing and Management: Theories and Applications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978-1-8459-3945-8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Developing Successful Agriculture: An Australian Case Study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978-1-8459-3806-2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Fish Parasites: Pathobiology and Protection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978-1-8459-3898-7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Frameworks for Tourism Research</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978-1-8459-3792-8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Hemp: Industrial Production and Uses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978-1-7806-4021-1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Host Gaze in Global Tourism, The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978-1-8459-3673-0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Human-Livestock Interactions: The Stockperson and the Productivity and Welfare of Intensively Farmed Animals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978-1-8459-3689-1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Innovation in Forestry: Territorial and Value Chain Relationships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978-1-8459-3679-2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Island Tourism: Sustainable Perspectives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978-1-7806-4179-9</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Mononegaviruses of Veterinary Importance: Volume I - Pathobiology and Molecular Diagnosis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978-1-7806-4244-4</w:t>
            </w:r>
          </w:p>
        </w:tc>
        <w:tc>
          <w:tcPr>
            <w:tcW w:w="10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Nautical Tourism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single" w:sz="4" w:space="0" w:color="auto"/>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978-1-7806-4278-9</w:t>
            </w:r>
          </w:p>
        </w:tc>
        <w:tc>
          <w:tcPr>
            <w:tcW w:w="10702" w:type="dxa"/>
            <w:tcBorders>
              <w:top w:val="single" w:sz="4" w:space="0" w:color="auto"/>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Nutrient Deficiencies of Field Crops: Guide to Diagnosis and Management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978-1-7806-4036-5</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Plant Pest Risk Analysis: Concepts and Application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978-1-8459-3921-2</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Productivity Growth in Agriculture: An International Perspective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978-1-8459-3556-6</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Radar Entomology: Observing Insect Flight and Migration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978-1-8459-3812-3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Realizing Africa's Rice Promise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978-1-7806-4252-9</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Research Themes for Events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978-1-8459-3987-8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Responsible Tourism: Concepts, Theory and Practice</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978-1-8459-3902-1</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Salmonella in Domestic Animals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978-1-7806-4145-4</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Serbia on the Road to EU Accession: Consequences for Agricultural Policy and the Agri-Food Chain</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978-1-7806-4043-3</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Shifting Cultivation and Secondary Succession in the Tropics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978-1-8459-3760-7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Stress Response in Pathogenic Bacteria</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978-1-8459-3827-7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Sustainable Livestock Management for Poverty Alleviation and Food Security</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978-1-7806-4006-8</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Veterinary Treatment of Llamas and Alpacas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978-1-7806-4172-0</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Veterinary Treatment of Pigs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978-1-7806-4003-7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Veterinary Treatment of Sheep and Goats</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2</w:t>
            </w:r>
          </w:p>
        </w:tc>
      </w:tr>
      <w:tr w:rsidR="007D0373" w:rsidRPr="00697765" w:rsidTr="00AB309B">
        <w:trPr>
          <w:trHeight w:val="270"/>
        </w:trPr>
        <w:tc>
          <w:tcPr>
            <w:tcW w:w="518" w:type="dxa"/>
            <w:tcBorders>
              <w:top w:val="nil"/>
              <w:left w:val="single" w:sz="4" w:space="0" w:color="auto"/>
              <w:bottom w:val="single" w:sz="4" w:space="0" w:color="auto"/>
              <w:right w:val="single" w:sz="4" w:space="0" w:color="auto"/>
            </w:tcBorders>
            <w:vAlign w:val="center"/>
          </w:tcPr>
          <w:p w:rsidR="007D0373" w:rsidRPr="00EC6573" w:rsidRDefault="007D0373" w:rsidP="003215B5">
            <w:pPr>
              <w:pStyle w:val="a7"/>
              <w:widowControl/>
              <w:numPr>
                <w:ilvl w:val="0"/>
                <w:numId w:val="7"/>
              </w:numPr>
              <w:ind w:firstLineChars="0"/>
              <w:jc w:val="left"/>
              <w:rPr>
                <w:rFonts w:ascii="楷体" w:eastAsia="楷体" w:hAnsi="楷体" w:cs="宋体"/>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978-1-8459-3898-7</w:t>
            </w:r>
          </w:p>
        </w:tc>
        <w:tc>
          <w:tcPr>
            <w:tcW w:w="10702" w:type="dxa"/>
            <w:tcBorders>
              <w:top w:val="nil"/>
              <w:left w:val="nil"/>
              <w:bottom w:val="single" w:sz="4" w:space="0" w:color="auto"/>
              <w:right w:val="single" w:sz="4" w:space="0" w:color="auto"/>
            </w:tcBorders>
            <w:shd w:val="clear" w:color="auto" w:fill="auto"/>
            <w:noWrap/>
            <w:vAlign w:val="center"/>
            <w:hideMark/>
          </w:tcPr>
          <w:p w:rsidR="007D0373" w:rsidRPr="00EC6573" w:rsidRDefault="007D0373"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Frameworks for Tourism Research</w:t>
            </w:r>
          </w:p>
        </w:tc>
        <w:tc>
          <w:tcPr>
            <w:tcW w:w="1134" w:type="dxa"/>
            <w:tcBorders>
              <w:top w:val="nil"/>
              <w:left w:val="nil"/>
              <w:bottom w:val="single" w:sz="4" w:space="0" w:color="auto"/>
              <w:right w:val="single" w:sz="4" w:space="0" w:color="auto"/>
            </w:tcBorders>
            <w:shd w:val="clear" w:color="auto" w:fill="auto"/>
            <w:noWrap/>
            <w:vAlign w:val="bottom"/>
            <w:hideMark/>
          </w:tcPr>
          <w:p w:rsidR="007D0373" w:rsidRDefault="007D0373">
            <w:pPr>
              <w:jc w:val="center"/>
              <w:rPr>
                <w:rFonts w:ascii="宋体" w:eastAsia="宋体" w:hAnsi="宋体" w:cs="宋体"/>
                <w:color w:val="000000"/>
                <w:sz w:val="22"/>
              </w:rPr>
            </w:pPr>
            <w:r>
              <w:rPr>
                <w:rFonts w:hint="eastAsia"/>
                <w:color w:val="000000"/>
                <w:sz w:val="22"/>
              </w:rPr>
              <w:t>1</w:t>
            </w:r>
          </w:p>
        </w:tc>
      </w:tr>
    </w:tbl>
    <w:p w:rsidR="003215B5" w:rsidRDefault="003215B5" w:rsidP="003215B5"/>
    <w:p w:rsidR="00AB5CE6" w:rsidRDefault="00AB5CE6" w:rsidP="003215B5"/>
    <w:p w:rsidR="00AB5CE6" w:rsidRDefault="00AB5CE6" w:rsidP="003215B5"/>
    <w:p w:rsidR="00AB5CE6" w:rsidRDefault="00AB5CE6" w:rsidP="003215B5"/>
    <w:p w:rsidR="00AB5CE6" w:rsidRDefault="00AB5CE6" w:rsidP="003215B5"/>
    <w:p w:rsidR="00AB5CE6" w:rsidRDefault="00AB5CE6" w:rsidP="003215B5"/>
    <w:p w:rsidR="00AB5CE6" w:rsidRDefault="00AB5CE6" w:rsidP="003215B5"/>
    <w:p w:rsidR="00AB5CE6" w:rsidRDefault="00AB5CE6" w:rsidP="003215B5"/>
    <w:p w:rsidR="00AB5CE6" w:rsidRDefault="00AB5CE6" w:rsidP="003215B5"/>
    <w:p w:rsidR="003215B5" w:rsidRPr="00EC6573" w:rsidRDefault="003215B5" w:rsidP="003215B5">
      <w:pPr>
        <w:rPr>
          <w:rFonts w:ascii="楷体" w:eastAsia="楷体" w:hAnsi="楷体"/>
        </w:rPr>
      </w:pPr>
      <w:r w:rsidRPr="00EC6573">
        <w:rPr>
          <w:rFonts w:ascii="楷体" w:eastAsia="楷体" w:hAnsi="楷体" w:hint="eastAsia"/>
        </w:rPr>
        <w:lastRenderedPageBreak/>
        <w:t>附件5: 涉农高校</w:t>
      </w:r>
      <w:r w:rsidR="004519A8" w:rsidRPr="00AF1DE6">
        <w:rPr>
          <w:rFonts w:ascii="楷体" w:eastAsia="楷体" w:hAnsi="楷体" w:hint="eastAsia"/>
        </w:rPr>
        <w:t>CABI电子书使用统计</w:t>
      </w:r>
      <w:r w:rsidR="004519A8">
        <w:rPr>
          <w:rFonts w:ascii="楷体" w:eastAsia="楷体" w:hAnsi="楷体" w:hint="eastAsia"/>
        </w:rPr>
        <w:t>汇总</w:t>
      </w:r>
    </w:p>
    <w:tbl>
      <w:tblPr>
        <w:tblW w:w="14622" w:type="dxa"/>
        <w:tblInd w:w="87" w:type="dxa"/>
        <w:tblLook w:val="04A0" w:firstRow="1" w:lastRow="0" w:firstColumn="1" w:lastColumn="0" w:noHBand="0" w:noVBand="1"/>
      </w:tblPr>
      <w:tblGrid>
        <w:gridCol w:w="588"/>
        <w:gridCol w:w="2552"/>
        <w:gridCol w:w="10348"/>
        <w:gridCol w:w="1134"/>
      </w:tblGrid>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4519A8">
            <w:pPr>
              <w:widowControl/>
              <w:jc w:val="left"/>
              <w:rPr>
                <w:rFonts w:ascii="楷体" w:eastAsia="楷体" w:hAnsi="楷体" w:cs="宋体"/>
                <w:b/>
                <w:bCs/>
                <w:color w:val="000000"/>
                <w:kern w:val="0"/>
                <w:szCs w:val="21"/>
              </w:rPr>
            </w:pPr>
            <w:r w:rsidRPr="00EC6573">
              <w:rPr>
                <w:rFonts w:ascii="楷体" w:eastAsia="楷体" w:hAnsi="楷体" w:cs="宋体" w:hint="eastAsia"/>
                <w:b/>
                <w:bCs/>
                <w:color w:val="000000"/>
                <w:kern w:val="0"/>
                <w:szCs w:val="21"/>
              </w:rPr>
              <w:t>序号</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b/>
                <w:bCs/>
                <w:color w:val="000000"/>
                <w:kern w:val="0"/>
                <w:szCs w:val="21"/>
              </w:rPr>
            </w:pPr>
            <w:r w:rsidRPr="00EC6573">
              <w:rPr>
                <w:rFonts w:ascii="楷体" w:eastAsia="楷体" w:hAnsi="楷体" w:cs="宋体" w:hint="eastAsia"/>
                <w:b/>
                <w:bCs/>
                <w:color w:val="000000"/>
                <w:kern w:val="0"/>
                <w:szCs w:val="21"/>
              </w:rPr>
              <w:t>ISBN</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b/>
                <w:bCs/>
                <w:kern w:val="0"/>
                <w:szCs w:val="21"/>
              </w:rPr>
            </w:pPr>
            <w:r w:rsidRPr="00EC6573">
              <w:rPr>
                <w:rFonts w:ascii="楷体" w:eastAsia="楷体" w:hAnsi="楷体" w:cs="宋体" w:hint="eastAsia"/>
                <w:b/>
                <w:bCs/>
                <w:kern w:val="0"/>
                <w:szCs w:val="21"/>
              </w:rPr>
              <w:t>OvidSP Product Description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b/>
                <w:bCs/>
                <w:color w:val="000000"/>
                <w:kern w:val="0"/>
                <w:szCs w:val="21"/>
              </w:rPr>
            </w:pPr>
            <w:r w:rsidRPr="00EC6573">
              <w:rPr>
                <w:rFonts w:ascii="楷体" w:eastAsia="楷体" w:hAnsi="楷体" w:cs="宋体" w:hint="eastAsia"/>
                <w:b/>
                <w:bCs/>
                <w:color w:val="000000"/>
                <w:kern w:val="0"/>
                <w:szCs w:val="21"/>
              </w:rPr>
              <w:t xml:space="preserve">Requests　</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978-1-8459-3843-7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African Seed Enterprises: Sowing the Seeds of Food Security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189</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978-1-8459-3716-4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African Smallholders: Food Crops, Markets and Policy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74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978-1-7806-4103-4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Greenhouse Technology and Management</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68</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978-1-7806-4100-3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Agricultural Markets in a Transitioning Economy: An Albanian Case Study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978-1-8459-3819-2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Agricultural Seed Production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32</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978-0-8519-9686-8</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Integrated Pest Management: Potential, Constraints and Challenges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20</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978-1-7806-4019-8</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Crop Plant Anatomy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18</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978-1-8459-3810-9</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Beneficial Microorganisms in Agriculture, Food and the Environment: Safety Assessment and Regulation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978-1-8459-3676-1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Chemical Food Safety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978-1-8459-3556-6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Radar Entomology: Observing Insect Flight and Migration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978-1-8459-3803-1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Urban Pest Management: An Environmental Perspective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978-1-8459-3635-8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Insect Pests in Tropical Forestry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15</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978-1-8459-3910-6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Nutrition and Physical Activity in Inflammatory Diseases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978-1-8459-3767-6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Peppers: Botany, Production and Uses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978-1-8459-3983-0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Animal Abuse: Helping Animals and People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978-1-8459-3943-4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Antimicrobial Drug Discovery: Emerging Strategies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978-1-8459-3528-3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Health-Promoting Properties of Fruit and Vegetables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978-1-8459-3761-4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Agrobiodiversity Management for Food Security: A Critical Review</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978-1-8459-3651-8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Aquaculture and Fisheries Biotechnology: Genetic Approaches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978-1-8459-3951-9</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Arthropod Pests of Horticultural Crops in Tropical Asia</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978-1-8459-3798-0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Amino Acids in Human Nutrition and Health</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978-1-7806-4257-4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Biological Control Programmes in Canada 2001-2012</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11</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978-1-8459-3809-3</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Grassland Productivity and Ecosystem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11</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978-1-7806-4176-8</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Animal Nutrition with Transgenic Plants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10</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978-1-7806-4244-4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Nautical Tourism</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10</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978-1-8459-3696-9</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International Volunteer Tourism: Integrating Travellers and Communities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9</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978-1-8459-3769-0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Natural Antimicrobials in Food Safety and Quality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9</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978-1-8459-3701-0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Avocado, The: Botany, Production and Uses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8</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978-1-8459-3673-0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Human-Livestock Interactions: The Stockperson and the Productivity and Welfare of Intensively Farmed Animals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8</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978-1-7806-4233-8</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Natural Antioxidants and Biocides from Wild Medicinal Plants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8</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978-1-8459-3099-8</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Agrobiodiversity Conservation: Securing the Diversity of Crop Wild Relatives and Landraces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978-1-8459-3824-6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Alternative Systems for Poultry - Health, Welfare and Productivity: Poultry Science Symposium Series Volume Thirty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978-1-8459-3532-0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Architecture and Biology of Soils, The: Life in Inner Space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978-1-8459-3845-1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Business and management of Ocean Cruises, The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978-1-8459-3714-0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Combating Micronutrient Deficiencies: Food-based Approaches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978-1-8459-3923-6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Cultural Tourism</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7</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978-1-7806-4231-4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Banana Systems in the Humid Highlands of Sub-Saharan Africa: Enhancing Resilience and Productivity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978-1-8459-3762-1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Destination Marketing and Management: Theories and Applications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978-1-8459-3818-5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Disease Resistance in Wheat</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978-1-8459-3839-0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Farm Business Management: Analysis of Farming Systems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978-1-8459-3814-7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Life at Extremes: Environments, Organisms and Strategies for Survival</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978-1-8459-3760-7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Stress Response in Pathogenic Bacteria</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978-1-8459-3681-5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Zoonotic Pathogens in the Food Chain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6</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978-1-8459-3984-7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Bacteriophages in Health and Disease: Advances in Molecular and Cellular Microbiology 24</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5</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978-1-8459-3766-9</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Biology and Breeding of Food Legumes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5</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978-1-8459-3557-3</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Economics of Regulation in Agriculture, The: Compliance with Public and Private Standards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5</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978-1-8459-3352-4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Labels of Origin for Food: Local Development, Global Recognition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5</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978-1-7806-4011-2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Rabbit Production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5</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978-1-8459-3827-7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Sustainable Livestock Management for Poverty Alleviation and Food Security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5</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978-1-8459-3885-7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Biofuel Crops: Production, Physiology and Genetics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978-1-8459-3665-5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Conservation Tourism</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978-1-8459-3997-7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Dairy Herd Health</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978-1-8459-3847-5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Farm Incomes, Wealth and Agricultural Policy: Filling the CAP's Core Information Gap</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978-1-8459-3828-4</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Food and Financial Crises in Sub-Saharan Africa, The: Origins, Impacts and Policy Implications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978-1-8459-3841-3</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Food Security in Africa and Asia: Strategies for Small-Scale Agricultural Development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978-1-8459-3898-7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Frameworks for Tourism Research</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978-1-8459-3689-1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Innovation in Forestry: Territorial and Value Chain Relationships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978-1-8459-3660-0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Medical Tourism</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978-1-8459-3956-4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Microbial Biotechnology: Energy and Environment</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978-1-8459-3970-0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Modeling Physiology of Crop Development, Growth and Yield</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978-1-7806-4278-9</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Nutrient Deficiencies of Field Crops: Guide to Diagnosis and Management</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978-1-8459-3758-4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Nutrition and Feeding of Organic Cattle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978-1-8459-3825-3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Peppers: Vegetable and Spice Capsicums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978-9-2510-7022-2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Plant Mutation Breeding and Biotechnology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978-1-7806-4042-6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Sustainable Animal Agriculture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978-1-7806-4172-0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Veterinary Treatment of Pigs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978-1-7806-4003-7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Veterinary Treatment of Sheep and Goats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4</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978-1-8459-3242-8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Biology of Mosquitoes Volume 3, The: Transmission of Viruses and Interactions with Bacteria</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978-1-8459-3826-0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Blueberries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978-1-8459-3929-8</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Disaster Management: Medical Preparedness, Response and Homeland Security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978-1-8459-3940-3</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Genetics of the Dog, The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978-1-7806-4041-9</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Innovation in Agri-Food Clusters: Theory and Case Studies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978-1-8459-3759-1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Parasitic Nematodes: Molecular Biology, Biochemistry and Immunology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978-1-7806-4093-8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Phytophthora: A Global Perspective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978-1-8459-3791-1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Raspberries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978-1-8459-3894-9</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Restoring Community Connections to the Land: Building Resilience through Communitybased Rangeland Management in China and Mongolia</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978-1-8459-3902-1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Salmonella in Domestic Animals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978-1-8459-3822-2</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Temperature Adaptation in a Changing Climate: Nature at Risk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3</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978-1-8459-3986-1</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Biological and Environmental Control of Disease Vectors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978-1-8459-3680-8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Crop Stress Management and Global Climate Change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978-1-8459-3937-3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Deafness in Dogs and Cats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978-1-8459-3945-8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Developing Successful Agriculture: An Australian Case Study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978-1-8459-3835-2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Dogs, Zoonoses and Public Health</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978-1-8459-3882-6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Farm Animal Medicine and Surgery: For Small Animal Veterinarians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978-1-8459-3905-2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Fungicide Resistance in Crop Protection: Risk and Management</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978-1-7806-4223-9</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Green Biosynthesis of Nanoparticles: Mechanisms and Applications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978-1-8459-3745-4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Maternal and Perinatal Health in Developing Countries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978-1-7806-4036-5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Plant Pest Risk Analysis: Concepts and Application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978-1-8459-3995-3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Plant Stress Physiology</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978-1-8459-3921-2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Productivity Growth in Agriculture: An International Perspective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978-1-7806-4226-0</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Quinoa: Botany, Production and Uses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978-1-8459-3794-2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Tourist Destination Governance: Practice, Theory and Issues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978-1-8459-3672-3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Tropical Fruits, Volume 1</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978-1-8459-3753-9</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Tropical Vegetable Production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2</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978-1-7806-4101-0</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Camel Meat and Meat Products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978-1-8459-3548-1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Disapperaring Destinations: Climate Change and Future Challenges for Coastal Tourism</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978-1-8459-3792-8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Hemp: Industrial Production and Uses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978-1-7806-4021-1</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Host Gaze in Global Tourism, The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978-1-7806-4040-2</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Infectious Forest Diseases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978-1-8459-3907-6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Invasive Alien Plants: An Ecological Appraisal for the Indian Subcontinent</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978-1-8459-3811-6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Invasive Plant Ecology and Management: Linking Processes to Practice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978-1-8459-3687-7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Molecular and Physiological Basis of Nematode Survival</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978-1-7806-4179-9</w:t>
            </w:r>
          </w:p>
        </w:tc>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Mononegaviruses of Veterinary Importance: Volume I - Pathobiology and Molecular Diagnosis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single" w:sz="4" w:space="0" w:color="auto"/>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978-1-8459-3671-6</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Natural Products in Plant Pest Management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978-1-8459-3812-3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Realizing Africa's Rice Promise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978-1-7806-4160-7</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Rural Women in Leadership: Positive Factors in Leadership Development</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978-1-7806-4145-4</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Serbia on the Road to EU Accession: Consequences for Agricultural Policy and the Agri-Food Chain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978-1-7806-4026-6</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Silviculture of Trees Used in British Forestry, The</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978-1-8459-3607-5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Small-scale Fisheries Management: Frameworks and Approaches for the Developing World</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978-1-8459-3797-3</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Soil Hydrology, Land Use and Agriculture: Measurement and Modelling</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978-1-8459-3649-5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Vegetable Production and Marketing in Africa: Socio-Economic Research</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978-1-7806-4006-8</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Veterinary Treatment of Llamas and Alpacas</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r w:rsidR="003215B5" w:rsidRPr="00E46563" w:rsidTr="00960D36">
        <w:trPr>
          <w:trHeight w:val="270"/>
        </w:trPr>
        <w:tc>
          <w:tcPr>
            <w:tcW w:w="588" w:type="dxa"/>
            <w:tcBorders>
              <w:top w:val="nil"/>
              <w:left w:val="single" w:sz="4" w:space="0" w:color="auto"/>
              <w:bottom w:val="single" w:sz="4" w:space="0" w:color="auto"/>
              <w:right w:val="single" w:sz="4" w:space="0" w:color="auto"/>
            </w:tcBorders>
            <w:vAlign w:val="center"/>
          </w:tcPr>
          <w:p w:rsidR="003215B5" w:rsidRPr="00EC6573" w:rsidRDefault="003215B5" w:rsidP="003215B5">
            <w:pPr>
              <w:pStyle w:val="a7"/>
              <w:widowControl/>
              <w:numPr>
                <w:ilvl w:val="0"/>
                <w:numId w:val="8"/>
              </w:numPr>
              <w:ind w:firstLineChars="0"/>
              <w:jc w:val="left"/>
              <w:rPr>
                <w:rFonts w:ascii="楷体" w:eastAsia="楷体" w:hAnsi="楷体" w:cs="宋体"/>
                <w:color w:val="000000"/>
                <w:kern w:val="0"/>
                <w:szCs w:val="21"/>
              </w:rPr>
            </w:pP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color w:val="000000"/>
                <w:kern w:val="0"/>
                <w:szCs w:val="21"/>
              </w:rPr>
            </w:pPr>
            <w:r w:rsidRPr="00EC6573">
              <w:rPr>
                <w:rFonts w:ascii="楷体" w:eastAsia="楷体" w:hAnsi="楷体" w:cs="宋体" w:hint="eastAsia"/>
                <w:color w:val="000000"/>
                <w:kern w:val="0"/>
                <w:szCs w:val="21"/>
              </w:rPr>
              <w:t>978-1-8459-3681-5</w:t>
            </w:r>
          </w:p>
        </w:tc>
        <w:tc>
          <w:tcPr>
            <w:tcW w:w="10348"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left"/>
              <w:rPr>
                <w:rFonts w:ascii="楷体" w:eastAsia="楷体" w:hAnsi="楷体" w:cs="宋体"/>
                <w:kern w:val="0"/>
                <w:szCs w:val="21"/>
              </w:rPr>
            </w:pPr>
            <w:r w:rsidRPr="00EC6573">
              <w:rPr>
                <w:rFonts w:ascii="楷体" w:eastAsia="楷体" w:hAnsi="楷体" w:cs="宋体" w:hint="eastAsia"/>
                <w:kern w:val="0"/>
                <w:szCs w:val="21"/>
              </w:rPr>
              <w:t>Zoonotic Pathogens in the Food Chain</w:t>
            </w:r>
          </w:p>
        </w:tc>
        <w:tc>
          <w:tcPr>
            <w:tcW w:w="1134" w:type="dxa"/>
            <w:tcBorders>
              <w:top w:val="nil"/>
              <w:left w:val="nil"/>
              <w:bottom w:val="single" w:sz="4" w:space="0" w:color="auto"/>
              <w:right w:val="single" w:sz="4" w:space="0" w:color="auto"/>
            </w:tcBorders>
            <w:shd w:val="clear" w:color="auto" w:fill="auto"/>
            <w:noWrap/>
            <w:vAlign w:val="center"/>
            <w:hideMark/>
          </w:tcPr>
          <w:p w:rsidR="003215B5" w:rsidRPr="00EC6573" w:rsidRDefault="003215B5" w:rsidP="004519A8">
            <w:pPr>
              <w:widowControl/>
              <w:jc w:val="center"/>
              <w:rPr>
                <w:rFonts w:ascii="楷体" w:eastAsia="楷体" w:hAnsi="楷体" w:cs="宋体"/>
                <w:color w:val="000000"/>
                <w:kern w:val="0"/>
                <w:szCs w:val="21"/>
              </w:rPr>
            </w:pPr>
            <w:r w:rsidRPr="00EC6573">
              <w:rPr>
                <w:rFonts w:ascii="楷体" w:eastAsia="楷体" w:hAnsi="楷体" w:cs="宋体" w:hint="eastAsia"/>
                <w:color w:val="000000"/>
                <w:kern w:val="0"/>
                <w:szCs w:val="21"/>
              </w:rPr>
              <w:t>1</w:t>
            </w:r>
          </w:p>
        </w:tc>
      </w:tr>
    </w:tbl>
    <w:p w:rsidR="003215B5" w:rsidRDefault="003215B5" w:rsidP="003215B5"/>
    <w:p w:rsidR="003215B5" w:rsidRPr="008D4AB6" w:rsidRDefault="003215B5" w:rsidP="00CD0609">
      <w:pPr>
        <w:autoSpaceDE w:val="0"/>
        <w:autoSpaceDN w:val="0"/>
        <w:adjustRightInd w:val="0"/>
        <w:snapToGrid w:val="0"/>
        <w:spacing w:line="360" w:lineRule="auto"/>
        <w:rPr>
          <w:rFonts w:ascii="楷体_GB2312" w:eastAsia="楷体_GB2312" w:hAnsi="Calibri" w:cs="Times New Roman"/>
          <w:szCs w:val="21"/>
        </w:rPr>
      </w:pPr>
    </w:p>
    <w:sectPr w:rsidR="003215B5" w:rsidRPr="008D4AB6" w:rsidSect="008E33EA">
      <w:pgSz w:w="16838" w:h="11906" w:orient="landscape"/>
      <w:pgMar w:top="1800" w:right="1440" w:bottom="1800"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4B" w:rsidRDefault="00B7424B" w:rsidP="0098362A">
      <w:r>
        <w:separator/>
      </w:r>
    </w:p>
  </w:endnote>
  <w:endnote w:type="continuationSeparator" w:id="0">
    <w:p w:rsidR="00B7424B" w:rsidRDefault="00B7424B" w:rsidP="0098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30514"/>
      <w:docPartObj>
        <w:docPartGallery w:val="Page Numbers (Bottom of Page)"/>
        <w:docPartUnique/>
      </w:docPartObj>
    </w:sdtPr>
    <w:sdtContent>
      <w:p w:rsidR="0090374A" w:rsidRDefault="0090374A">
        <w:pPr>
          <w:pStyle w:val="a4"/>
          <w:jc w:val="center"/>
        </w:pPr>
        <w:r>
          <w:fldChar w:fldCharType="begin"/>
        </w:r>
        <w:r>
          <w:instrText>PAGE   \* MERGEFORMAT</w:instrText>
        </w:r>
        <w:r>
          <w:fldChar w:fldCharType="separate"/>
        </w:r>
        <w:r w:rsidRPr="0090374A">
          <w:rPr>
            <w:noProof/>
            <w:lang w:val="zh-CN"/>
          </w:rPr>
          <w:t>1</w:t>
        </w:r>
        <w:r>
          <w:fldChar w:fldCharType="end"/>
        </w:r>
      </w:p>
    </w:sdtContent>
  </w:sdt>
  <w:p w:rsidR="00D059E6" w:rsidRDefault="00D059E6" w:rsidP="00D059E6">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2475"/>
      <w:docPartObj>
        <w:docPartGallery w:val="Page Numbers (Bottom of Page)"/>
        <w:docPartUnique/>
      </w:docPartObj>
    </w:sdtPr>
    <w:sdtEndPr/>
    <w:sdtContent>
      <w:p w:rsidR="00DA1340" w:rsidRDefault="005F27D0">
        <w:pPr>
          <w:pStyle w:val="a4"/>
          <w:jc w:val="center"/>
        </w:pPr>
        <w:r>
          <w:fldChar w:fldCharType="begin"/>
        </w:r>
        <w:r>
          <w:instrText xml:space="preserve"> PAGE   \* MERGEFORMAT </w:instrText>
        </w:r>
        <w:r>
          <w:fldChar w:fldCharType="separate"/>
        </w:r>
        <w:r w:rsidR="00DA1340" w:rsidRPr="00DA1340">
          <w:rPr>
            <w:noProof/>
            <w:lang w:val="zh-CN"/>
          </w:rPr>
          <w:t>1</w:t>
        </w:r>
        <w:r>
          <w:rPr>
            <w:noProof/>
            <w:lang w:val="zh-CN"/>
          </w:rPr>
          <w:fldChar w:fldCharType="end"/>
        </w:r>
      </w:p>
    </w:sdtContent>
  </w:sdt>
  <w:p w:rsidR="00FB1BF5" w:rsidRDefault="00FB1B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4B" w:rsidRDefault="00B7424B" w:rsidP="0098362A">
      <w:r>
        <w:separator/>
      </w:r>
    </w:p>
  </w:footnote>
  <w:footnote w:type="continuationSeparator" w:id="0">
    <w:p w:rsidR="00B7424B" w:rsidRDefault="00B7424B" w:rsidP="00983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A6028"/>
    <w:multiLevelType w:val="hybridMultilevel"/>
    <w:tmpl w:val="4AC4B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C87210"/>
    <w:multiLevelType w:val="hybridMultilevel"/>
    <w:tmpl w:val="3E5A91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5818AF"/>
    <w:multiLevelType w:val="hybridMultilevel"/>
    <w:tmpl w:val="7B0E38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8F22F2"/>
    <w:multiLevelType w:val="hybridMultilevel"/>
    <w:tmpl w:val="97DE8600"/>
    <w:lvl w:ilvl="0" w:tplc="6E22A312">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2934A3A"/>
    <w:multiLevelType w:val="hybridMultilevel"/>
    <w:tmpl w:val="28F4A350"/>
    <w:lvl w:ilvl="0" w:tplc="EDB86B26">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DCD519B"/>
    <w:multiLevelType w:val="hybridMultilevel"/>
    <w:tmpl w:val="E640C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4B0711"/>
    <w:multiLevelType w:val="hybridMultilevel"/>
    <w:tmpl w:val="6FEABC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C57C21"/>
    <w:multiLevelType w:val="hybridMultilevel"/>
    <w:tmpl w:val="2B2EF278"/>
    <w:lvl w:ilvl="0" w:tplc="CE8697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6E7F"/>
    <w:rsid w:val="0000222B"/>
    <w:rsid w:val="000136C8"/>
    <w:rsid w:val="00015614"/>
    <w:rsid w:val="00022486"/>
    <w:rsid w:val="0002682B"/>
    <w:rsid w:val="00026844"/>
    <w:rsid w:val="00030273"/>
    <w:rsid w:val="00033409"/>
    <w:rsid w:val="00041A7B"/>
    <w:rsid w:val="00041F44"/>
    <w:rsid w:val="00045743"/>
    <w:rsid w:val="00047E8A"/>
    <w:rsid w:val="0005024A"/>
    <w:rsid w:val="00054803"/>
    <w:rsid w:val="00056150"/>
    <w:rsid w:val="00066883"/>
    <w:rsid w:val="0007216F"/>
    <w:rsid w:val="000A274F"/>
    <w:rsid w:val="000A47DF"/>
    <w:rsid w:val="000A4B5E"/>
    <w:rsid w:val="000B13E3"/>
    <w:rsid w:val="000B217D"/>
    <w:rsid w:val="000B38DE"/>
    <w:rsid w:val="000B59BE"/>
    <w:rsid w:val="000B5E67"/>
    <w:rsid w:val="000C0739"/>
    <w:rsid w:val="000C087A"/>
    <w:rsid w:val="000C150E"/>
    <w:rsid w:val="000C3E90"/>
    <w:rsid w:val="000C489F"/>
    <w:rsid w:val="000C7F37"/>
    <w:rsid w:val="000D4563"/>
    <w:rsid w:val="000D6400"/>
    <w:rsid w:val="000E59E5"/>
    <w:rsid w:val="000F50A4"/>
    <w:rsid w:val="00105A3B"/>
    <w:rsid w:val="001125F6"/>
    <w:rsid w:val="001134CA"/>
    <w:rsid w:val="00116C9B"/>
    <w:rsid w:val="00120A38"/>
    <w:rsid w:val="001236B0"/>
    <w:rsid w:val="001250B4"/>
    <w:rsid w:val="001271C7"/>
    <w:rsid w:val="00130B0C"/>
    <w:rsid w:val="00137219"/>
    <w:rsid w:val="0014255F"/>
    <w:rsid w:val="00150305"/>
    <w:rsid w:val="00152E23"/>
    <w:rsid w:val="0015394B"/>
    <w:rsid w:val="0015413B"/>
    <w:rsid w:val="00154252"/>
    <w:rsid w:val="00154894"/>
    <w:rsid w:val="001610C0"/>
    <w:rsid w:val="00161FEB"/>
    <w:rsid w:val="0016284F"/>
    <w:rsid w:val="00171B43"/>
    <w:rsid w:val="001720BA"/>
    <w:rsid w:val="00173D29"/>
    <w:rsid w:val="00185BCC"/>
    <w:rsid w:val="001963C2"/>
    <w:rsid w:val="001A12C1"/>
    <w:rsid w:val="001A3B59"/>
    <w:rsid w:val="001B564F"/>
    <w:rsid w:val="001B5C82"/>
    <w:rsid w:val="001B5CB2"/>
    <w:rsid w:val="001C1C76"/>
    <w:rsid w:val="001C2BC4"/>
    <w:rsid w:val="001C3C9B"/>
    <w:rsid w:val="001C736C"/>
    <w:rsid w:val="001E0122"/>
    <w:rsid w:val="001E07BB"/>
    <w:rsid w:val="001E2017"/>
    <w:rsid w:val="001E3810"/>
    <w:rsid w:val="001F4EB5"/>
    <w:rsid w:val="001F58C7"/>
    <w:rsid w:val="00206225"/>
    <w:rsid w:val="00216EF0"/>
    <w:rsid w:val="00222A08"/>
    <w:rsid w:val="0022766F"/>
    <w:rsid w:val="00227F4F"/>
    <w:rsid w:val="00235ECA"/>
    <w:rsid w:val="002408A7"/>
    <w:rsid w:val="0024340D"/>
    <w:rsid w:val="00247BF6"/>
    <w:rsid w:val="00251A88"/>
    <w:rsid w:val="00254454"/>
    <w:rsid w:val="00261F80"/>
    <w:rsid w:val="0026637A"/>
    <w:rsid w:val="00266BAF"/>
    <w:rsid w:val="0027013F"/>
    <w:rsid w:val="002740E4"/>
    <w:rsid w:val="002746EB"/>
    <w:rsid w:val="00281911"/>
    <w:rsid w:val="00287969"/>
    <w:rsid w:val="002A4F9D"/>
    <w:rsid w:val="002A70E9"/>
    <w:rsid w:val="002B214A"/>
    <w:rsid w:val="002B3268"/>
    <w:rsid w:val="002B727A"/>
    <w:rsid w:val="002C593B"/>
    <w:rsid w:val="002C6D51"/>
    <w:rsid w:val="002C7C86"/>
    <w:rsid w:val="002D1124"/>
    <w:rsid w:val="002D3225"/>
    <w:rsid w:val="002E0988"/>
    <w:rsid w:val="002E32C8"/>
    <w:rsid w:val="002F5524"/>
    <w:rsid w:val="002F7329"/>
    <w:rsid w:val="00300DC5"/>
    <w:rsid w:val="00305628"/>
    <w:rsid w:val="003066DA"/>
    <w:rsid w:val="0031439D"/>
    <w:rsid w:val="00320051"/>
    <w:rsid w:val="00320C86"/>
    <w:rsid w:val="003215B5"/>
    <w:rsid w:val="003224B8"/>
    <w:rsid w:val="00326422"/>
    <w:rsid w:val="003268E1"/>
    <w:rsid w:val="00335BFC"/>
    <w:rsid w:val="00336196"/>
    <w:rsid w:val="00340BF7"/>
    <w:rsid w:val="00342547"/>
    <w:rsid w:val="00344D14"/>
    <w:rsid w:val="00351278"/>
    <w:rsid w:val="00354757"/>
    <w:rsid w:val="00355D77"/>
    <w:rsid w:val="00357057"/>
    <w:rsid w:val="00363048"/>
    <w:rsid w:val="00365062"/>
    <w:rsid w:val="00374A89"/>
    <w:rsid w:val="003756F8"/>
    <w:rsid w:val="00375964"/>
    <w:rsid w:val="00382FC2"/>
    <w:rsid w:val="003839D5"/>
    <w:rsid w:val="00387EB9"/>
    <w:rsid w:val="0039028A"/>
    <w:rsid w:val="003A09F2"/>
    <w:rsid w:val="003A1F21"/>
    <w:rsid w:val="003C044B"/>
    <w:rsid w:val="003C2D7A"/>
    <w:rsid w:val="003C4EE9"/>
    <w:rsid w:val="003C7DDB"/>
    <w:rsid w:val="003D0442"/>
    <w:rsid w:val="003D2FC0"/>
    <w:rsid w:val="003D331F"/>
    <w:rsid w:val="003D58BA"/>
    <w:rsid w:val="003D60EE"/>
    <w:rsid w:val="003E1EE2"/>
    <w:rsid w:val="003E238E"/>
    <w:rsid w:val="003F094D"/>
    <w:rsid w:val="003F0F8E"/>
    <w:rsid w:val="003F21FA"/>
    <w:rsid w:val="003F3FCA"/>
    <w:rsid w:val="00412112"/>
    <w:rsid w:val="0042039A"/>
    <w:rsid w:val="00421D67"/>
    <w:rsid w:val="00422837"/>
    <w:rsid w:val="00424ADB"/>
    <w:rsid w:val="00425C41"/>
    <w:rsid w:val="00434BF6"/>
    <w:rsid w:val="00435103"/>
    <w:rsid w:val="00436EB0"/>
    <w:rsid w:val="00445C8A"/>
    <w:rsid w:val="00446933"/>
    <w:rsid w:val="004519A8"/>
    <w:rsid w:val="00462443"/>
    <w:rsid w:val="00462B06"/>
    <w:rsid w:val="00466212"/>
    <w:rsid w:val="00470256"/>
    <w:rsid w:val="00477CB0"/>
    <w:rsid w:val="00477EF6"/>
    <w:rsid w:val="00480C78"/>
    <w:rsid w:val="004908CA"/>
    <w:rsid w:val="00493CDF"/>
    <w:rsid w:val="004967DF"/>
    <w:rsid w:val="004A1250"/>
    <w:rsid w:val="004A4ED8"/>
    <w:rsid w:val="004A5D41"/>
    <w:rsid w:val="004B70F3"/>
    <w:rsid w:val="004C087C"/>
    <w:rsid w:val="004C7415"/>
    <w:rsid w:val="004C7860"/>
    <w:rsid w:val="004E6493"/>
    <w:rsid w:val="004F3822"/>
    <w:rsid w:val="004F7B22"/>
    <w:rsid w:val="00503A1F"/>
    <w:rsid w:val="0050620E"/>
    <w:rsid w:val="00510738"/>
    <w:rsid w:val="005109DA"/>
    <w:rsid w:val="00511892"/>
    <w:rsid w:val="00515525"/>
    <w:rsid w:val="00522D8E"/>
    <w:rsid w:val="00524CE1"/>
    <w:rsid w:val="00525116"/>
    <w:rsid w:val="00525A38"/>
    <w:rsid w:val="00525E35"/>
    <w:rsid w:val="005325AD"/>
    <w:rsid w:val="00533E5D"/>
    <w:rsid w:val="0053525D"/>
    <w:rsid w:val="005470D2"/>
    <w:rsid w:val="00550396"/>
    <w:rsid w:val="00556FB3"/>
    <w:rsid w:val="005641F3"/>
    <w:rsid w:val="00564C33"/>
    <w:rsid w:val="00571E60"/>
    <w:rsid w:val="00572117"/>
    <w:rsid w:val="00573EEE"/>
    <w:rsid w:val="0057541C"/>
    <w:rsid w:val="00576136"/>
    <w:rsid w:val="0058348F"/>
    <w:rsid w:val="00585B57"/>
    <w:rsid w:val="00590116"/>
    <w:rsid w:val="005908E6"/>
    <w:rsid w:val="005911DB"/>
    <w:rsid w:val="0059148E"/>
    <w:rsid w:val="00593C9E"/>
    <w:rsid w:val="005978D0"/>
    <w:rsid w:val="005A77EC"/>
    <w:rsid w:val="005B49C1"/>
    <w:rsid w:val="005B4ED2"/>
    <w:rsid w:val="005C1004"/>
    <w:rsid w:val="005C40EF"/>
    <w:rsid w:val="005D7BC4"/>
    <w:rsid w:val="005E357D"/>
    <w:rsid w:val="005E702E"/>
    <w:rsid w:val="005F1288"/>
    <w:rsid w:val="005F1384"/>
    <w:rsid w:val="005F27D0"/>
    <w:rsid w:val="005F7E6C"/>
    <w:rsid w:val="00607B33"/>
    <w:rsid w:val="006112BF"/>
    <w:rsid w:val="00612134"/>
    <w:rsid w:val="00613436"/>
    <w:rsid w:val="0062221F"/>
    <w:rsid w:val="00624857"/>
    <w:rsid w:val="006310C3"/>
    <w:rsid w:val="0063502A"/>
    <w:rsid w:val="00635856"/>
    <w:rsid w:val="00640572"/>
    <w:rsid w:val="006421C1"/>
    <w:rsid w:val="00642B66"/>
    <w:rsid w:val="00643452"/>
    <w:rsid w:val="00643705"/>
    <w:rsid w:val="006535E2"/>
    <w:rsid w:val="00654509"/>
    <w:rsid w:val="006569C7"/>
    <w:rsid w:val="00660A47"/>
    <w:rsid w:val="006655C1"/>
    <w:rsid w:val="00665A38"/>
    <w:rsid w:val="00673167"/>
    <w:rsid w:val="006759C2"/>
    <w:rsid w:val="00676643"/>
    <w:rsid w:val="00682274"/>
    <w:rsid w:val="00685363"/>
    <w:rsid w:val="0068701B"/>
    <w:rsid w:val="00687300"/>
    <w:rsid w:val="00687BB4"/>
    <w:rsid w:val="00691CCD"/>
    <w:rsid w:val="006A513E"/>
    <w:rsid w:val="006B7BF0"/>
    <w:rsid w:val="006C0EAF"/>
    <w:rsid w:val="006C3A65"/>
    <w:rsid w:val="006C41BA"/>
    <w:rsid w:val="006C5BE9"/>
    <w:rsid w:val="006C6886"/>
    <w:rsid w:val="006D3547"/>
    <w:rsid w:val="006D61CE"/>
    <w:rsid w:val="006E1C46"/>
    <w:rsid w:val="006F1080"/>
    <w:rsid w:val="006F144E"/>
    <w:rsid w:val="006F4FF4"/>
    <w:rsid w:val="007022D2"/>
    <w:rsid w:val="007056A1"/>
    <w:rsid w:val="00705861"/>
    <w:rsid w:val="00705BFA"/>
    <w:rsid w:val="007100EA"/>
    <w:rsid w:val="00714698"/>
    <w:rsid w:val="007167C7"/>
    <w:rsid w:val="00716938"/>
    <w:rsid w:val="007251F2"/>
    <w:rsid w:val="00734951"/>
    <w:rsid w:val="007372CE"/>
    <w:rsid w:val="0073785D"/>
    <w:rsid w:val="0074663D"/>
    <w:rsid w:val="00756005"/>
    <w:rsid w:val="00757CE4"/>
    <w:rsid w:val="00760D9B"/>
    <w:rsid w:val="00760F0C"/>
    <w:rsid w:val="00762C7F"/>
    <w:rsid w:val="00762EDC"/>
    <w:rsid w:val="00763E31"/>
    <w:rsid w:val="00771AF9"/>
    <w:rsid w:val="00780CA0"/>
    <w:rsid w:val="0078124C"/>
    <w:rsid w:val="007938F3"/>
    <w:rsid w:val="00794F43"/>
    <w:rsid w:val="007A1B09"/>
    <w:rsid w:val="007A679A"/>
    <w:rsid w:val="007C0D0D"/>
    <w:rsid w:val="007C0FBD"/>
    <w:rsid w:val="007C201E"/>
    <w:rsid w:val="007C66DF"/>
    <w:rsid w:val="007D0373"/>
    <w:rsid w:val="007D752D"/>
    <w:rsid w:val="007E3703"/>
    <w:rsid w:val="007F05EA"/>
    <w:rsid w:val="007F57B3"/>
    <w:rsid w:val="00806DCD"/>
    <w:rsid w:val="008150C0"/>
    <w:rsid w:val="008204A2"/>
    <w:rsid w:val="008208F2"/>
    <w:rsid w:val="00822F46"/>
    <w:rsid w:val="008239E6"/>
    <w:rsid w:val="00834039"/>
    <w:rsid w:val="00835809"/>
    <w:rsid w:val="00842D35"/>
    <w:rsid w:val="00842E8A"/>
    <w:rsid w:val="00844376"/>
    <w:rsid w:val="008464B0"/>
    <w:rsid w:val="00846667"/>
    <w:rsid w:val="0085632D"/>
    <w:rsid w:val="00860205"/>
    <w:rsid w:val="008618FD"/>
    <w:rsid w:val="00862A66"/>
    <w:rsid w:val="00870686"/>
    <w:rsid w:val="00876CE9"/>
    <w:rsid w:val="00885F06"/>
    <w:rsid w:val="0088690A"/>
    <w:rsid w:val="00892DF7"/>
    <w:rsid w:val="00895378"/>
    <w:rsid w:val="00897262"/>
    <w:rsid w:val="008B199A"/>
    <w:rsid w:val="008B4162"/>
    <w:rsid w:val="008C503F"/>
    <w:rsid w:val="008C53C0"/>
    <w:rsid w:val="008C5B86"/>
    <w:rsid w:val="008C65D9"/>
    <w:rsid w:val="008C780A"/>
    <w:rsid w:val="008D0D7C"/>
    <w:rsid w:val="008D4AB6"/>
    <w:rsid w:val="008D4B1D"/>
    <w:rsid w:val="008E005C"/>
    <w:rsid w:val="008E33EA"/>
    <w:rsid w:val="008E381D"/>
    <w:rsid w:val="008F0570"/>
    <w:rsid w:val="008F1121"/>
    <w:rsid w:val="008F1FD2"/>
    <w:rsid w:val="008F2374"/>
    <w:rsid w:val="008F31CF"/>
    <w:rsid w:val="008F3E69"/>
    <w:rsid w:val="00900CFF"/>
    <w:rsid w:val="009016B7"/>
    <w:rsid w:val="00903571"/>
    <w:rsid w:val="0090374A"/>
    <w:rsid w:val="00910E50"/>
    <w:rsid w:val="00915C42"/>
    <w:rsid w:val="0092153B"/>
    <w:rsid w:val="009227CE"/>
    <w:rsid w:val="00927528"/>
    <w:rsid w:val="009300C4"/>
    <w:rsid w:val="009329EA"/>
    <w:rsid w:val="00932DBA"/>
    <w:rsid w:val="009342B8"/>
    <w:rsid w:val="00934D69"/>
    <w:rsid w:val="00937962"/>
    <w:rsid w:val="00940040"/>
    <w:rsid w:val="00943056"/>
    <w:rsid w:val="00950297"/>
    <w:rsid w:val="00951F5C"/>
    <w:rsid w:val="00954136"/>
    <w:rsid w:val="009545A3"/>
    <w:rsid w:val="00960BB0"/>
    <w:rsid w:val="00960D36"/>
    <w:rsid w:val="00960D43"/>
    <w:rsid w:val="00961635"/>
    <w:rsid w:val="00964678"/>
    <w:rsid w:val="00965EA6"/>
    <w:rsid w:val="0096688B"/>
    <w:rsid w:val="0096717A"/>
    <w:rsid w:val="00971DE2"/>
    <w:rsid w:val="00973005"/>
    <w:rsid w:val="00981B5D"/>
    <w:rsid w:val="0098362A"/>
    <w:rsid w:val="00994C9D"/>
    <w:rsid w:val="00995D50"/>
    <w:rsid w:val="0099614E"/>
    <w:rsid w:val="009963E3"/>
    <w:rsid w:val="0099732B"/>
    <w:rsid w:val="009A34D9"/>
    <w:rsid w:val="009A362F"/>
    <w:rsid w:val="009A40A1"/>
    <w:rsid w:val="009B3B45"/>
    <w:rsid w:val="009B42C3"/>
    <w:rsid w:val="009B6E7F"/>
    <w:rsid w:val="009B79A0"/>
    <w:rsid w:val="009B7C52"/>
    <w:rsid w:val="009C1DFB"/>
    <w:rsid w:val="009C2332"/>
    <w:rsid w:val="009C61A7"/>
    <w:rsid w:val="009D108E"/>
    <w:rsid w:val="009D1C15"/>
    <w:rsid w:val="009D22D5"/>
    <w:rsid w:val="009D3838"/>
    <w:rsid w:val="009D5185"/>
    <w:rsid w:val="009E1787"/>
    <w:rsid w:val="009E2999"/>
    <w:rsid w:val="009F7BA9"/>
    <w:rsid w:val="00A013B1"/>
    <w:rsid w:val="00A113A2"/>
    <w:rsid w:val="00A11EF4"/>
    <w:rsid w:val="00A1469A"/>
    <w:rsid w:val="00A15101"/>
    <w:rsid w:val="00A15B09"/>
    <w:rsid w:val="00A1776E"/>
    <w:rsid w:val="00A17F5A"/>
    <w:rsid w:val="00A20FF6"/>
    <w:rsid w:val="00A2769A"/>
    <w:rsid w:val="00A30005"/>
    <w:rsid w:val="00A3453E"/>
    <w:rsid w:val="00A406B3"/>
    <w:rsid w:val="00A4298C"/>
    <w:rsid w:val="00A4418A"/>
    <w:rsid w:val="00A50F10"/>
    <w:rsid w:val="00A50F40"/>
    <w:rsid w:val="00A560DE"/>
    <w:rsid w:val="00A70564"/>
    <w:rsid w:val="00A756E5"/>
    <w:rsid w:val="00A7579B"/>
    <w:rsid w:val="00A7743E"/>
    <w:rsid w:val="00A845FA"/>
    <w:rsid w:val="00A858F7"/>
    <w:rsid w:val="00A866A3"/>
    <w:rsid w:val="00A87C39"/>
    <w:rsid w:val="00A93817"/>
    <w:rsid w:val="00A93932"/>
    <w:rsid w:val="00AA139D"/>
    <w:rsid w:val="00AA513D"/>
    <w:rsid w:val="00AA6856"/>
    <w:rsid w:val="00AB019B"/>
    <w:rsid w:val="00AB309B"/>
    <w:rsid w:val="00AB5CE6"/>
    <w:rsid w:val="00AB76D8"/>
    <w:rsid w:val="00AC0DC6"/>
    <w:rsid w:val="00AC24B8"/>
    <w:rsid w:val="00AC2983"/>
    <w:rsid w:val="00AC6788"/>
    <w:rsid w:val="00AD2B04"/>
    <w:rsid w:val="00AD2F23"/>
    <w:rsid w:val="00AE24C6"/>
    <w:rsid w:val="00AE4E02"/>
    <w:rsid w:val="00AE6C91"/>
    <w:rsid w:val="00AF1DE6"/>
    <w:rsid w:val="00AF5964"/>
    <w:rsid w:val="00B03F9D"/>
    <w:rsid w:val="00B04188"/>
    <w:rsid w:val="00B07CD0"/>
    <w:rsid w:val="00B16929"/>
    <w:rsid w:val="00B17A50"/>
    <w:rsid w:val="00B2020F"/>
    <w:rsid w:val="00B2221E"/>
    <w:rsid w:val="00B32E4A"/>
    <w:rsid w:val="00B421A7"/>
    <w:rsid w:val="00B44DE2"/>
    <w:rsid w:val="00B45997"/>
    <w:rsid w:val="00B47C77"/>
    <w:rsid w:val="00B62B55"/>
    <w:rsid w:val="00B658B8"/>
    <w:rsid w:val="00B7424B"/>
    <w:rsid w:val="00B81E1C"/>
    <w:rsid w:val="00B8293C"/>
    <w:rsid w:val="00B83B1A"/>
    <w:rsid w:val="00B87C7A"/>
    <w:rsid w:val="00B92B0C"/>
    <w:rsid w:val="00B96090"/>
    <w:rsid w:val="00B96201"/>
    <w:rsid w:val="00B97D4F"/>
    <w:rsid w:val="00BA56F9"/>
    <w:rsid w:val="00BA66B2"/>
    <w:rsid w:val="00BB54E6"/>
    <w:rsid w:val="00BB6D3E"/>
    <w:rsid w:val="00BC581A"/>
    <w:rsid w:val="00BD0A69"/>
    <w:rsid w:val="00BD112D"/>
    <w:rsid w:val="00BD28F1"/>
    <w:rsid w:val="00BD7213"/>
    <w:rsid w:val="00BE0979"/>
    <w:rsid w:val="00BE1058"/>
    <w:rsid w:val="00BE37C4"/>
    <w:rsid w:val="00BE4284"/>
    <w:rsid w:val="00BE4B59"/>
    <w:rsid w:val="00BE518C"/>
    <w:rsid w:val="00BF040A"/>
    <w:rsid w:val="00BF30C1"/>
    <w:rsid w:val="00C03353"/>
    <w:rsid w:val="00C04571"/>
    <w:rsid w:val="00C06B73"/>
    <w:rsid w:val="00C122EE"/>
    <w:rsid w:val="00C13708"/>
    <w:rsid w:val="00C161CA"/>
    <w:rsid w:val="00C17215"/>
    <w:rsid w:val="00C20068"/>
    <w:rsid w:val="00C23869"/>
    <w:rsid w:val="00C23E4B"/>
    <w:rsid w:val="00C26F20"/>
    <w:rsid w:val="00C305CD"/>
    <w:rsid w:val="00C31851"/>
    <w:rsid w:val="00C32D3E"/>
    <w:rsid w:val="00C37B70"/>
    <w:rsid w:val="00C45667"/>
    <w:rsid w:val="00C468C6"/>
    <w:rsid w:val="00C50A5E"/>
    <w:rsid w:val="00C53007"/>
    <w:rsid w:val="00C54C85"/>
    <w:rsid w:val="00C62992"/>
    <w:rsid w:val="00C65A13"/>
    <w:rsid w:val="00C66248"/>
    <w:rsid w:val="00C77192"/>
    <w:rsid w:val="00C8079B"/>
    <w:rsid w:val="00C81397"/>
    <w:rsid w:val="00C81B76"/>
    <w:rsid w:val="00C83A72"/>
    <w:rsid w:val="00C87999"/>
    <w:rsid w:val="00C90536"/>
    <w:rsid w:val="00C90617"/>
    <w:rsid w:val="00C93E81"/>
    <w:rsid w:val="00C94324"/>
    <w:rsid w:val="00C95DAA"/>
    <w:rsid w:val="00C97A55"/>
    <w:rsid w:val="00CA1111"/>
    <w:rsid w:val="00CA202E"/>
    <w:rsid w:val="00CA322A"/>
    <w:rsid w:val="00CA3D7E"/>
    <w:rsid w:val="00CA7631"/>
    <w:rsid w:val="00CB1431"/>
    <w:rsid w:val="00CB2EF5"/>
    <w:rsid w:val="00CB6E21"/>
    <w:rsid w:val="00CC0D49"/>
    <w:rsid w:val="00CC4168"/>
    <w:rsid w:val="00CD0609"/>
    <w:rsid w:val="00CD322C"/>
    <w:rsid w:val="00CD6351"/>
    <w:rsid w:val="00CD7406"/>
    <w:rsid w:val="00CE0C08"/>
    <w:rsid w:val="00CE3256"/>
    <w:rsid w:val="00CE372A"/>
    <w:rsid w:val="00CF4A8C"/>
    <w:rsid w:val="00D03033"/>
    <w:rsid w:val="00D059E6"/>
    <w:rsid w:val="00D10E4E"/>
    <w:rsid w:val="00D13247"/>
    <w:rsid w:val="00D143CB"/>
    <w:rsid w:val="00D20A6A"/>
    <w:rsid w:val="00D257DB"/>
    <w:rsid w:val="00D31F9B"/>
    <w:rsid w:val="00D37EC6"/>
    <w:rsid w:val="00D442FA"/>
    <w:rsid w:val="00D54377"/>
    <w:rsid w:val="00D55BB4"/>
    <w:rsid w:val="00D65F10"/>
    <w:rsid w:val="00D670CE"/>
    <w:rsid w:val="00D73657"/>
    <w:rsid w:val="00D73C57"/>
    <w:rsid w:val="00D85051"/>
    <w:rsid w:val="00D85E98"/>
    <w:rsid w:val="00D86B2B"/>
    <w:rsid w:val="00D86FF1"/>
    <w:rsid w:val="00D94A42"/>
    <w:rsid w:val="00D978E8"/>
    <w:rsid w:val="00DA01D2"/>
    <w:rsid w:val="00DA0317"/>
    <w:rsid w:val="00DA1340"/>
    <w:rsid w:val="00DA2C1F"/>
    <w:rsid w:val="00DB2075"/>
    <w:rsid w:val="00DB3908"/>
    <w:rsid w:val="00DC32A3"/>
    <w:rsid w:val="00DC3DE4"/>
    <w:rsid w:val="00DD3BD1"/>
    <w:rsid w:val="00DE0C23"/>
    <w:rsid w:val="00DE24AE"/>
    <w:rsid w:val="00DE657C"/>
    <w:rsid w:val="00DF1FD6"/>
    <w:rsid w:val="00E0021B"/>
    <w:rsid w:val="00E04553"/>
    <w:rsid w:val="00E04892"/>
    <w:rsid w:val="00E07F6F"/>
    <w:rsid w:val="00E110B2"/>
    <w:rsid w:val="00E17C59"/>
    <w:rsid w:val="00E242EC"/>
    <w:rsid w:val="00E43B6F"/>
    <w:rsid w:val="00E4526B"/>
    <w:rsid w:val="00E4528D"/>
    <w:rsid w:val="00E50610"/>
    <w:rsid w:val="00E62374"/>
    <w:rsid w:val="00E70629"/>
    <w:rsid w:val="00E8424E"/>
    <w:rsid w:val="00E9285E"/>
    <w:rsid w:val="00E9348C"/>
    <w:rsid w:val="00E96BDF"/>
    <w:rsid w:val="00E97DF9"/>
    <w:rsid w:val="00EA1D21"/>
    <w:rsid w:val="00EA47DD"/>
    <w:rsid w:val="00EA5592"/>
    <w:rsid w:val="00EC33CB"/>
    <w:rsid w:val="00EC6573"/>
    <w:rsid w:val="00ED166E"/>
    <w:rsid w:val="00ED5D68"/>
    <w:rsid w:val="00EE7E55"/>
    <w:rsid w:val="00EF3E0E"/>
    <w:rsid w:val="00F0146B"/>
    <w:rsid w:val="00F03104"/>
    <w:rsid w:val="00F03C5F"/>
    <w:rsid w:val="00F04CD2"/>
    <w:rsid w:val="00F11029"/>
    <w:rsid w:val="00F15411"/>
    <w:rsid w:val="00F32FA3"/>
    <w:rsid w:val="00F43431"/>
    <w:rsid w:val="00F50143"/>
    <w:rsid w:val="00F53232"/>
    <w:rsid w:val="00F61F0C"/>
    <w:rsid w:val="00F625B8"/>
    <w:rsid w:val="00F662D8"/>
    <w:rsid w:val="00F75D99"/>
    <w:rsid w:val="00F76CBB"/>
    <w:rsid w:val="00F76D4E"/>
    <w:rsid w:val="00F80272"/>
    <w:rsid w:val="00F80D0C"/>
    <w:rsid w:val="00F83667"/>
    <w:rsid w:val="00F92915"/>
    <w:rsid w:val="00F9411A"/>
    <w:rsid w:val="00F95348"/>
    <w:rsid w:val="00F9695E"/>
    <w:rsid w:val="00F96B4F"/>
    <w:rsid w:val="00FA1772"/>
    <w:rsid w:val="00FA68AE"/>
    <w:rsid w:val="00FA78E9"/>
    <w:rsid w:val="00FB0A08"/>
    <w:rsid w:val="00FB1BF5"/>
    <w:rsid w:val="00FB39C8"/>
    <w:rsid w:val="00FB408D"/>
    <w:rsid w:val="00FB5D1F"/>
    <w:rsid w:val="00FB74A0"/>
    <w:rsid w:val="00FC16E2"/>
    <w:rsid w:val="00FC53AF"/>
    <w:rsid w:val="00FC705C"/>
    <w:rsid w:val="00FD524C"/>
    <w:rsid w:val="00FE2445"/>
    <w:rsid w:val="00FE51DA"/>
    <w:rsid w:val="00FE529E"/>
    <w:rsid w:val="00FE549C"/>
    <w:rsid w:val="00FF07E8"/>
    <w:rsid w:val="00FF0F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4016BD-4ADF-45F6-A5FB-09BBA6CE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B04"/>
    <w:pPr>
      <w:widowControl w:val="0"/>
      <w:jc w:val="both"/>
    </w:pPr>
  </w:style>
  <w:style w:type="paragraph" w:styleId="1">
    <w:name w:val="heading 1"/>
    <w:basedOn w:val="a"/>
    <w:next w:val="a"/>
    <w:link w:val="1Char"/>
    <w:qFormat/>
    <w:rsid w:val="003F3FCA"/>
    <w:pPr>
      <w:keepNext/>
      <w:keepLines/>
      <w:spacing w:before="340" w:after="330" w:line="578" w:lineRule="auto"/>
      <w:outlineLvl w:val="0"/>
    </w:pPr>
    <w:rPr>
      <w:rFonts w:ascii="Times New Roman" w:eastAsia="宋体" w:hAnsi="Times New Roman" w:cs="Times New Roman"/>
      <w:b/>
      <w:bCs/>
      <w:kern w:val="44"/>
      <w:sz w:val="36"/>
      <w:szCs w:val="44"/>
    </w:rPr>
  </w:style>
  <w:style w:type="paragraph" w:styleId="2">
    <w:name w:val="heading 2"/>
    <w:basedOn w:val="a"/>
    <w:next w:val="a"/>
    <w:link w:val="2Char"/>
    <w:qFormat/>
    <w:rsid w:val="003F3FCA"/>
    <w:pPr>
      <w:keepNext/>
      <w:keepLines/>
      <w:spacing w:before="260" w:after="260" w:line="416" w:lineRule="auto"/>
      <w:outlineLvl w:val="1"/>
    </w:pPr>
    <w:rPr>
      <w:rFonts w:ascii="Arial" w:eastAsia="宋体" w:hAnsi="Arial" w:cs="Times New Roman"/>
      <w:b/>
      <w:bCs/>
      <w:sz w:val="32"/>
      <w:szCs w:val="32"/>
    </w:rPr>
  </w:style>
  <w:style w:type="paragraph" w:styleId="3">
    <w:name w:val="heading 3"/>
    <w:basedOn w:val="a"/>
    <w:next w:val="a"/>
    <w:link w:val="3Char"/>
    <w:qFormat/>
    <w:rsid w:val="003F3FCA"/>
    <w:pPr>
      <w:keepNext/>
      <w:keepLines/>
      <w:spacing w:before="260" w:after="260" w:line="416" w:lineRule="auto"/>
      <w:outlineLvl w:val="2"/>
    </w:pPr>
    <w:rPr>
      <w:rFonts w:ascii="Times New Roman" w:eastAsia="宋体" w:hAnsi="Times New Roman" w:cs="Times New Roman"/>
      <w:b/>
      <w:bCs/>
      <w:sz w:val="30"/>
      <w:szCs w:val="32"/>
    </w:rPr>
  </w:style>
  <w:style w:type="paragraph" w:styleId="4">
    <w:name w:val="heading 4"/>
    <w:basedOn w:val="a"/>
    <w:next w:val="a"/>
    <w:link w:val="4Char"/>
    <w:uiPriority w:val="9"/>
    <w:unhideWhenUsed/>
    <w:qFormat/>
    <w:rsid w:val="00BB54E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B54E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3FCA"/>
    <w:rPr>
      <w:rFonts w:ascii="Times New Roman" w:eastAsia="宋体" w:hAnsi="Times New Roman" w:cs="Times New Roman"/>
      <w:b/>
      <w:bCs/>
      <w:kern w:val="44"/>
      <w:sz w:val="36"/>
      <w:szCs w:val="44"/>
    </w:rPr>
  </w:style>
  <w:style w:type="character" w:customStyle="1" w:styleId="2Char">
    <w:name w:val="标题 2 Char"/>
    <w:basedOn w:val="a0"/>
    <w:link w:val="2"/>
    <w:rsid w:val="003F3FCA"/>
    <w:rPr>
      <w:rFonts w:ascii="Arial" w:eastAsia="宋体" w:hAnsi="Arial" w:cs="Times New Roman"/>
      <w:b/>
      <w:bCs/>
      <w:sz w:val="32"/>
      <w:szCs w:val="32"/>
    </w:rPr>
  </w:style>
  <w:style w:type="character" w:customStyle="1" w:styleId="3Char">
    <w:name w:val="标题 3 Char"/>
    <w:basedOn w:val="a0"/>
    <w:link w:val="3"/>
    <w:rsid w:val="003F3FCA"/>
    <w:rPr>
      <w:rFonts w:ascii="Times New Roman" w:eastAsia="宋体" w:hAnsi="Times New Roman" w:cs="Times New Roman"/>
      <w:b/>
      <w:bCs/>
      <w:sz w:val="30"/>
      <w:szCs w:val="32"/>
    </w:rPr>
  </w:style>
  <w:style w:type="paragraph" w:styleId="a3">
    <w:name w:val="header"/>
    <w:basedOn w:val="a"/>
    <w:link w:val="Char"/>
    <w:uiPriority w:val="99"/>
    <w:unhideWhenUsed/>
    <w:rsid w:val="00983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362A"/>
    <w:rPr>
      <w:sz w:val="18"/>
      <w:szCs w:val="18"/>
    </w:rPr>
  </w:style>
  <w:style w:type="paragraph" w:styleId="a4">
    <w:name w:val="footer"/>
    <w:basedOn w:val="a"/>
    <w:link w:val="Char0"/>
    <w:uiPriority w:val="99"/>
    <w:unhideWhenUsed/>
    <w:rsid w:val="0098362A"/>
    <w:pPr>
      <w:tabs>
        <w:tab w:val="center" w:pos="4153"/>
        <w:tab w:val="right" w:pos="8306"/>
      </w:tabs>
      <w:snapToGrid w:val="0"/>
      <w:jc w:val="left"/>
    </w:pPr>
    <w:rPr>
      <w:sz w:val="18"/>
      <w:szCs w:val="18"/>
    </w:rPr>
  </w:style>
  <w:style w:type="character" w:customStyle="1" w:styleId="Char0">
    <w:name w:val="页脚 Char"/>
    <w:basedOn w:val="a0"/>
    <w:link w:val="a4"/>
    <w:uiPriority w:val="99"/>
    <w:rsid w:val="0098362A"/>
    <w:rPr>
      <w:sz w:val="18"/>
      <w:szCs w:val="18"/>
    </w:rPr>
  </w:style>
  <w:style w:type="character" w:customStyle="1" w:styleId="4Char">
    <w:name w:val="标题 4 Char"/>
    <w:basedOn w:val="a0"/>
    <w:link w:val="4"/>
    <w:uiPriority w:val="9"/>
    <w:rsid w:val="00BB54E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B54E6"/>
    <w:rPr>
      <w:b/>
      <w:bCs/>
      <w:sz w:val="28"/>
      <w:szCs w:val="28"/>
    </w:rPr>
  </w:style>
  <w:style w:type="paragraph" w:styleId="a5">
    <w:name w:val="Balloon Text"/>
    <w:basedOn w:val="a"/>
    <w:link w:val="Char1"/>
    <w:uiPriority w:val="99"/>
    <w:semiHidden/>
    <w:unhideWhenUsed/>
    <w:rsid w:val="002F5524"/>
    <w:rPr>
      <w:sz w:val="18"/>
      <w:szCs w:val="18"/>
    </w:rPr>
  </w:style>
  <w:style w:type="character" w:customStyle="1" w:styleId="Char1">
    <w:name w:val="批注框文本 Char"/>
    <w:basedOn w:val="a0"/>
    <w:link w:val="a5"/>
    <w:uiPriority w:val="99"/>
    <w:semiHidden/>
    <w:rsid w:val="002F5524"/>
    <w:rPr>
      <w:sz w:val="18"/>
      <w:szCs w:val="18"/>
    </w:rPr>
  </w:style>
  <w:style w:type="character" w:styleId="a6">
    <w:name w:val="Strong"/>
    <w:basedOn w:val="a0"/>
    <w:uiPriority w:val="22"/>
    <w:qFormat/>
    <w:rsid w:val="00F95348"/>
    <w:rPr>
      <w:b/>
      <w:bCs/>
    </w:rPr>
  </w:style>
  <w:style w:type="paragraph" w:styleId="a7">
    <w:name w:val="List Paragraph"/>
    <w:basedOn w:val="a"/>
    <w:uiPriority w:val="34"/>
    <w:qFormat/>
    <w:rsid w:val="00047E8A"/>
    <w:pPr>
      <w:ind w:firstLineChars="200" w:firstLine="420"/>
    </w:pPr>
  </w:style>
  <w:style w:type="table" w:styleId="a8">
    <w:name w:val="Table Grid"/>
    <w:basedOn w:val="a1"/>
    <w:uiPriority w:val="59"/>
    <w:rsid w:val="00A20F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844376"/>
    <w:pPr>
      <w:widowControl/>
      <w:spacing w:before="100" w:beforeAutospacing="1" w:after="100" w:afterAutospacing="1"/>
      <w:jc w:val="left"/>
    </w:pPr>
    <w:rPr>
      <w:rFonts w:ascii="宋体" w:eastAsia="宋体" w:hAnsi="宋体" w:cs="宋体"/>
      <w:kern w:val="0"/>
      <w:sz w:val="24"/>
      <w:szCs w:val="24"/>
    </w:rPr>
  </w:style>
  <w:style w:type="paragraph" w:styleId="aa">
    <w:name w:val="Date"/>
    <w:basedOn w:val="a"/>
    <w:next w:val="a"/>
    <w:link w:val="Char2"/>
    <w:uiPriority w:val="99"/>
    <w:semiHidden/>
    <w:unhideWhenUsed/>
    <w:rsid w:val="00D059E6"/>
    <w:pPr>
      <w:ind w:leftChars="2500" w:left="100"/>
    </w:pPr>
  </w:style>
  <w:style w:type="character" w:customStyle="1" w:styleId="Char2">
    <w:name w:val="日期 Char"/>
    <w:basedOn w:val="a0"/>
    <w:link w:val="aa"/>
    <w:uiPriority w:val="99"/>
    <w:semiHidden/>
    <w:rsid w:val="00D0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7432">
      <w:bodyDiv w:val="1"/>
      <w:marLeft w:val="0"/>
      <w:marRight w:val="0"/>
      <w:marTop w:val="0"/>
      <w:marBottom w:val="0"/>
      <w:divBdr>
        <w:top w:val="none" w:sz="0" w:space="0" w:color="auto"/>
        <w:left w:val="none" w:sz="0" w:space="0" w:color="auto"/>
        <w:bottom w:val="none" w:sz="0" w:space="0" w:color="auto"/>
        <w:right w:val="none" w:sz="0" w:space="0" w:color="auto"/>
      </w:divBdr>
    </w:div>
    <w:div w:id="106973798">
      <w:bodyDiv w:val="1"/>
      <w:marLeft w:val="0"/>
      <w:marRight w:val="0"/>
      <w:marTop w:val="0"/>
      <w:marBottom w:val="0"/>
      <w:divBdr>
        <w:top w:val="none" w:sz="0" w:space="0" w:color="auto"/>
        <w:left w:val="none" w:sz="0" w:space="0" w:color="auto"/>
        <w:bottom w:val="none" w:sz="0" w:space="0" w:color="auto"/>
        <w:right w:val="none" w:sz="0" w:space="0" w:color="auto"/>
      </w:divBdr>
    </w:div>
    <w:div w:id="678699962">
      <w:bodyDiv w:val="1"/>
      <w:marLeft w:val="0"/>
      <w:marRight w:val="0"/>
      <w:marTop w:val="0"/>
      <w:marBottom w:val="0"/>
      <w:divBdr>
        <w:top w:val="none" w:sz="0" w:space="0" w:color="auto"/>
        <w:left w:val="none" w:sz="0" w:space="0" w:color="auto"/>
        <w:bottom w:val="none" w:sz="0" w:space="0" w:color="auto"/>
        <w:right w:val="none" w:sz="0" w:space="0" w:color="auto"/>
      </w:divBdr>
    </w:div>
    <w:div w:id="924071955">
      <w:bodyDiv w:val="1"/>
      <w:marLeft w:val="0"/>
      <w:marRight w:val="0"/>
      <w:marTop w:val="0"/>
      <w:marBottom w:val="0"/>
      <w:divBdr>
        <w:top w:val="none" w:sz="0" w:space="0" w:color="auto"/>
        <w:left w:val="none" w:sz="0" w:space="0" w:color="auto"/>
        <w:bottom w:val="none" w:sz="0" w:space="0" w:color="auto"/>
        <w:right w:val="none" w:sz="0" w:space="0" w:color="auto"/>
      </w:divBdr>
    </w:div>
    <w:div w:id="1217623972">
      <w:bodyDiv w:val="1"/>
      <w:marLeft w:val="0"/>
      <w:marRight w:val="0"/>
      <w:marTop w:val="0"/>
      <w:marBottom w:val="0"/>
      <w:divBdr>
        <w:top w:val="none" w:sz="0" w:space="0" w:color="auto"/>
        <w:left w:val="none" w:sz="0" w:space="0" w:color="auto"/>
        <w:bottom w:val="none" w:sz="0" w:space="0" w:color="auto"/>
        <w:right w:val="none" w:sz="0" w:space="0" w:color="auto"/>
      </w:divBdr>
    </w:div>
    <w:div w:id="1253969667">
      <w:bodyDiv w:val="1"/>
      <w:marLeft w:val="0"/>
      <w:marRight w:val="0"/>
      <w:marTop w:val="0"/>
      <w:marBottom w:val="0"/>
      <w:divBdr>
        <w:top w:val="none" w:sz="0" w:space="0" w:color="auto"/>
        <w:left w:val="none" w:sz="0" w:space="0" w:color="auto"/>
        <w:bottom w:val="none" w:sz="0" w:space="0" w:color="auto"/>
        <w:right w:val="none" w:sz="0" w:space="0" w:color="auto"/>
      </w:divBdr>
    </w:div>
    <w:div w:id="1340280832">
      <w:bodyDiv w:val="1"/>
      <w:marLeft w:val="0"/>
      <w:marRight w:val="0"/>
      <w:marTop w:val="0"/>
      <w:marBottom w:val="0"/>
      <w:divBdr>
        <w:top w:val="none" w:sz="0" w:space="0" w:color="auto"/>
        <w:left w:val="none" w:sz="0" w:space="0" w:color="auto"/>
        <w:bottom w:val="none" w:sz="0" w:space="0" w:color="auto"/>
        <w:right w:val="none" w:sz="0" w:space="0" w:color="auto"/>
      </w:divBdr>
    </w:div>
    <w:div w:id="1574850150">
      <w:bodyDiv w:val="1"/>
      <w:marLeft w:val="0"/>
      <w:marRight w:val="0"/>
      <w:marTop w:val="0"/>
      <w:marBottom w:val="0"/>
      <w:divBdr>
        <w:top w:val="none" w:sz="0" w:space="0" w:color="auto"/>
        <w:left w:val="none" w:sz="0" w:space="0" w:color="auto"/>
        <w:bottom w:val="none" w:sz="0" w:space="0" w:color="auto"/>
        <w:right w:val="none" w:sz="0" w:space="0" w:color="auto"/>
      </w:divBdr>
    </w:div>
    <w:div w:id="1598176113">
      <w:bodyDiv w:val="1"/>
      <w:marLeft w:val="0"/>
      <w:marRight w:val="0"/>
      <w:marTop w:val="0"/>
      <w:marBottom w:val="0"/>
      <w:divBdr>
        <w:top w:val="none" w:sz="0" w:space="0" w:color="auto"/>
        <w:left w:val="none" w:sz="0" w:space="0" w:color="auto"/>
        <w:bottom w:val="none" w:sz="0" w:space="0" w:color="auto"/>
        <w:right w:val="none" w:sz="0" w:space="0" w:color="auto"/>
      </w:divBdr>
    </w:div>
    <w:div w:id="1864973913">
      <w:bodyDiv w:val="1"/>
      <w:marLeft w:val="0"/>
      <w:marRight w:val="0"/>
      <w:marTop w:val="0"/>
      <w:marBottom w:val="0"/>
      <w:divBdr>
        <w:top w:val="none" w:sz="0" w:space="0" w:color="auto"/>
        <w:left w:val="none" w:sz="0" w:space="0" w:color="auto"/>
        <w:bottom w:val="none" w:sz="0" w:space="0" w:color="auto"/>
        <w:right w:val="none" w:sz="0" w:space="0" w:color="auto"/>
      </w:divBdr>
    </w:div>
    <w:div w:id="20766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39033;&#30446;&#30740;&#31350;\&#20892;&#19994;&#39640;&#26657;&#30005;&#23376;&#22270;&#20070;&#32479;&#35745;&#65288;&#32593;&#32476;&#35843;&#30740;&#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39033;&#30446;&#30740;&#31350;\&#20892;&#19994;&#39640;&#26657;&#30005;&#23376;&#22270;&#20070;&#32479;&#35745;&#65288;&#32593;&#32476;&#35843;&#30740;&#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39033;&#30446;&#30740;&#31350;\&#20892;&#19994;&#39640;&#26657;&#30005;&#23376;&#22270;&#20070;&#32479;&#35745;&#65288;&#32593;&#32476;&#35843;&#30740;&#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39033;&#30446;&#30740;&#31350;\&#20892;&#19994;&#39640;&#26657;&#30005;&#23376;&#22270;&#20070;&#32479;&#35745;&#65288;&#32593;&#32476;&#35843;&#30740;&#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39033;&#30446;&#30740;&#31350;\&#20892;&#19994;&#39640;&#26657;&#30005;&#23376;&#22270;&#20070;&#32479;&#35745;&#65288;&#32593;&#32476;&#35843;&#30740;&#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39033;&#30446;&#30740;&#31350;\&#20892;&#19994;&#39640;&#26657;&#30005;&#23376;&#22270;&#20070;&#32479;&#35745;&#65288;&#32593;&#32476;&#35843;&#30740;&#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39033;&#30446;&#30740;&#31350;\CABI&#30005;&#23376;&#20070;&#20351;&#29992;&#32479;&#35745;&#65288;&#22806;&#25945;&#20013;&#24515;+&#20892;&#23398;&#20013;&#24515;&#65289;201412-2015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39033;&#30446;&#30740;&#31350;\CABI&#30005;&#23376;&#20070;&#20351;&#29992;&#32479;&#35745;&#65288;&#22806;&#25945;&#20013;&#24515;+&#20892;&#23398;&#20013;&#24515;&#65289;201412-2015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aseline="0"/>
            </a:pPr>
            <a:r>
              <a:rPr lang="zh-CN" altLang="en-US" sz="800" b="0" i="0" baseline="0"/>
              <a:t>引进平台数量</a:t>
            </a:r>
          </a:p>
        </c:rich>
      </c:tx>
      <c:layout>
        <c:manualLayout>
          <c:xMode val="edge"/>
          <c:yMode val="edge"/>
          <c:x val="0.8295269514921747"/>
          <c:y val="0.73482857573022853"/>
        </c:manualLayout>
      </c:layout>
      <c:overlay val="0"/>
    </c:title>
    <c:autoTitleDeleted val="0"/>
    <c:plotArea>
      <c:layout/>
      <c:barChart>
        <c:barDir val="col"/>
        <c:grouping val="clustered"/>
        <c:varyColors val="0"/>
        <c:ser>
          <c:idx val="0"/>
          <c:order val="0"/>
          <c:tx>
            <c:strRef>
              <c:f>'附表1-出版社'!$B$55</c:f>
              <c:strCache>
                <c:ptCount val="1"/>
                <c:pt idx="0">
                  <c:v>高校数量</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'附表1-出版社'!$A$56:$A$64</c:f>
              <c:numCache>
                <c:formatCode>General</c:formatCode>
                <c:ptCount val="9"/>
                <c:pt idx="0">
                  <c:v>1</c:v>
                </c:pt>
                <c:pt idx="1">
                  <c:v>2</c:v>
                </c:pt>
                <c:pt idx="2">
                  <c:v>3</c:v>
                </c:pt>
                <c:pt idx="3">
                  <c:v>4</c:v>
                </c:pt>
                <c:pt idx="4">
                  <c:v>5</c:v>
                </c:pt>
                <c:pt idx="5">
                  <c:v>6</c:v>
                </c:pt>
                <c:pt idx="6">
                  <c:v>7</c:v>
                </c:pt>
                <c:pt idx="7">
                  <c:v>8</c:v>
                </c:pt>
                <c:pt idx="8">
                  <c:v>9</c:v>
                </c:pt>
              </c:numCache>
            </c:numRef>
          </c:cat>
          <c:val>
            <c:numRef>
              <c:f>'附表1-出版社'!$B$56:$B$64</c:f>
              <c:numCache>
                <c:formatCode>General</c:formatCode>
                <c:ptCount val="9"/>
                <c:pt idx="0">
                  <c:v>17</c:v>
                </c:pt>
                <c:pt idx="1">
                  <c:v>9</c:v>
                </c:pt>
                <c:pt idx="2">
                  <c:v>7</c:v>
                </c:pt>
                <c:pt idx="3">
                  <c:v>1</c:v>
                </c:pt>
                <c:pt idx="4">
                  <c:v>1</c:v>
                </c:pt>
                <c:pt idx="5">
                  <c:v>0</c:v>
                </c:pt>
                <c:pt idx="6">
                  <c:v>0</c:v>
                </c:pt>
                <c:pt idx="7">
                  <c:v>1</c:v>
                </c:pt>
                <c:pt idx="8">
                  <c:v>1</c:v>
                </c:pt>
              </c:numCache>
            </c:numRef>
          </c:val>
        </c:ser>
        <c:dLbls>
          <c:showLegendKey val="0"/>
          <c:showVal val="0"/>
          <c:showCatName val="0"/>
          <c:showSerName val="0"/>
          <c:showPercent val="0"/>
          <c:showBubbleSize val="0"/>
        </c:dLbls>
        <c:gapWidth val="150"/>
        <c:axId val="392552560"/>
        <c:axId val="392556480"/>
      </c:barChart>
      <c:catAx>
        <c:axId val="392552560"/>
        <c:scaling>
          <c:orientation val="minMax"/>
        </c:scaling>
        <c:delete val="0"/>
        <c:axPos val="b"/>
        <c:numFmt formatCode="General" sourceLinked="1"/>
        <c:majorTickMark val="out"/>
        <c:minorTickMark val="none"/>
        <c:tickLblPos val="nextTo"/>
        <c:txPr>
          <a:bodyPr/>
          <a:lstStyle/>
          <a:p>
            <a:pPr>
              <a:defRPr sz="800" baseline="0"/>
            </a:pPr>
            <a:endParaRPr lang="zh-CN"/>
          </a:p>
        </c:txPr>
        <c:crossAx val="392556480"/>
        <c:crosses val="autoZero"/>
        <c:auto val="1"/>
        <c:lblAlgn val="ctr"/>
        <c:lblOffset val="100"/>
        <c:noMultiLvlLbl val="0"/>
      </c:catAx>
      <c:valAx>
        <c:axId val="392556480"/>
        <c:scaling>
          <c:orientation val="minMax"/>
        </c:scaling>
        <c:delete val="0"/>
        <c:axPos val="l"/>
        <c:majorGridlines/>
        <c:numFmt formatCode="General" sourceLinked="1"/>
        <c:majorTickMark val="out"/>
        <c:minorTickMark val="none"/>
        <c:tickLblPos val="nextTo"/>
        <c:txPr>
          <a:bodyPr/>
          <a:lstStyle/>
          <a:p>
            <a:pPr>
              <a:defRPr sz="800" baseline="0"/>
            </a:pPr>
            <a:endParaRPr lang="zh-CN"/>
          </a:p>
        </c:txPr>
        <c:crossAx val="392552560"/>
        <c:crosses val="autoZero"/>
        <c:crossBetween val="between"/>
      </c:valAx>
    </c:plotArea>
    <c:legend>
      <c:legendPos val="r"/>
      <c:layout>
        <c:manualLayout>
          <c:xMode val="edge"/>
          <c:yMode val="edge"/>
          <c:x val="2.7692214148907081E-2"/>
          <c:y val="3.157204167723885E-2"/>
          <c:w val="0.14667821927664437"/>
          <c:h val="7.7901606112372304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800" b="0" i="0" baseline="0"/>
              <a:t>引进电子图书数量（册）</a:t>
            </a:r>
          </a:p>
        </c:rich>
      </c:tx>
      <c:layout>
        <c:manualLayout>
          <c:xMode val="edge"/>
          <c:yMode val="edge"/>
          <c:x val="0.76148780837423569"/>
          <c:y val="0.72831171571895759"/>
        </c:manualLayout>
      </c:layout>
      <c:overlay val="0"/>
    </c:title>
    <c:autoTitleDeleted val="0"/>
    <c:plotArea>
      <c:layout>
        <c:manualLayout>
          <c:layoutTarget val="inner"/>
          <c:xMode val="edge"/>
          <c:yMode val="edge"/>
          <c:x val="6.5074266846587694E-2"/>
          <c:y val="0.13716701196071188"/>
          <c:w val="0.6964210547127937"/>
          <c:h val="0.54584207781208094"/>
        </c:manualLayout>
      </c:layout>
      <c:barChart>
        <c:barDir val="col"/>
        <c:grouping val="clustered"/>
        <c:varyColors val="0"/>
        <c:ser>
          <c:idx val="0"/>
          <c:order val="0"/>
          <c:tx>
            <c:strRef>
              <c:f>'附表1-出版社'!$B$41</c:f>
              <c:strCache>
                <c:ptCount val="1"/>
                <c:pt idx="0">
                  <c:v>高校数量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'附表1-出版社'!$A$42:$A$50</c:f>
              <c:strCache>
                <c:ptCount val="9"/>
                <c:pt idx="0">
                  <c:v>0-500</c:v>
                </c:pt>
                <c:pt idx="1">
                  <c:v>500-1000</c:v>
                </c:pt>
                <c:pt idx="2">
                  <c:v>1000-5000</c:v>
                </c:pt>
                <c:pt idx="3">
                  <c:v>5000-10000</c:v>
                </c:pt>
                <c:pt idx="4">
                  <c:v>10000-20000</c:v>
                </c:pt>
                <c:pt idx="5">
                  <c:v>20000-30000</c:v>
                </c:pt>
                <c:pt idx="6">
                  <c:v>30000-40000</c:v>
                </c:pt>
                <c:pt idx="7">
                  <c:v>40000-50000</c:v>
                </c:pt>
                <c:pt idx="8">
                  <c:v>50000-</c:v>
                </c:pt>
              </c:strCache>
            </c:strRef>
          </c:cat>
          <c:val>
            <c:numRef>
              <c:f>'附表1-出版社'!$B$42:$B$50</c:f>
              <c:numCache>
                <c:formatCode>General</c:formatCode>
                <c:ptCount val="9"/>
                <c:pt idx="0">
                  <c:v>18</c:v>
                </c:pt>
                <c:pt idx="1">
                  <c:v>2</c:v>
                </c:pt>
                <c:pt idx="2">
                  <c:v>5</c:v>
                </c:pt>
                <c:pt idx="3">
                  <c:v>3</c:v>
                </c:pt>
                <c:pt idx="4">
                  <c:v>2</c:v>
                </c:pt>
                <c:pt idx="5">
                  <c:v>1</c:v>
                </c:pt>
                <c:pt idx="6">
                  <c:v>0</c:v>
                </c:pt>
                <c:pt idx="7">
                  <c:v>1</c:v>
                </c:pt>
                <c:pt idx="8">
                  <c:v>5</c:v>
                </c:pt>
              </c:numCache>
            </c:numRef>
          </c:val>
        </c:ser>
        <c:dLbls>
          <c:showLegendKey val="0"/>
          <c:showVal val="0"/>
          <c:showCatName val="0"/>
          <c:showSerName val="0"/>
          <c:showPercent val="0"/>
          <c:showBubbleSize val="0"/>
        </c:dLbls>
        <c:gapWidth val="150"/>
        <c:axId val="370890928"/>
        <c:axId val="370892608"/>
      </c:barChart>
      <c:catAx>
        <c:axId val="370890928"/>
        <c:scaling>
          <c:orientation val="minMax"/>
        </c:scaling>
        <c:delete val="0"/>
        <c:axPos val="b"/>
        <c:numFmt formatCode="General" sourceLinked="0"/>
        <c:majorTickMark val="out"/>
        <c:minorTickMark val="none"/>
        <c:tickLblPos val="nextTo"/>
        <c:txPr>
          <a:bodyPr/>
          <a:lstStyle/>
          <a:p>
            <a:pPr>
              <a:defRPr sz="800" baseline="0"/>
            </a:pPr>
            <a:endParaRPr lang="zh-CN"/>
          </a:p>
        </c:txPr>
        <c:crossAx val="370892608"/>
        <c:crosses val="autoZero"/>
        <c:auto val="1"/>
        <c:lblAlgn val="ctr"/>
        <c:lblOffset val="100"/>
        <c:noMultiLvlLbl val="0"/>
      </c:catAx>
      <c:valAx>
        <c:axId val="370892608"/>
        <c:scaling>
          <c:orientation val="minMax"/>
        </c:scaling>
        <c:delete val="0"/>
        <c:axPos val="l"/>
        <c:majorGridlines/>
        <c:numFmt formatCode="General" sourceLinked="1"/>
        <c:majorTickMark val="out"/>
        <c:minorTickMark val="none"/>
        <c:tickLblPos val="nextTo"/>
        <c:txPr>
          <a:bodyPr/>
          <a:lstStyle/>
          <a:p>
            <a:pPr>
              <a:defRPr sz="800" baseline="0"/>
            </a:pPr>
            <a:endParaRPr lang="zh-CN"/>
          </a:p>
        </c:txPr>
        <c:crossAx val="370890928"/>
        <c:crosses val="autoZero"/>
        <c:crossBetween val="between"/>
      </c:valAx>
    </c:plotArea>
    <c:legend>
      <c:legendPos val="r"/>
      <c:layout>
        <c:manualLayout>
          <c:xMode val="edge"/>
          <c:yMode val="edge"/>
          <c:x val="4.9148489207210724E-2"/>
          <c:y val="3.3703437089148192E-2"/>
          <c:w val="0.14308722709096391"/>
          <c:h val="8.1317190261326985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81031889085985"/>
          <c:y val="4.2477352511535754E-2"/>
          <c:w val="0.73104964289103413"/>
          <c:h val="0.87698064304461965"/>
        </c:manualLayout>
      </c:layout>
      <c:scatterChart>
        <c:scatterStyle val="lineMarker"/>
        <c:varyColors val="0"/>
        <c:ser>
          <c:idx val="0"/>
          <c:order val="0"/>
          <c:tx>
            <c:strRef>
              <c:f>离散度绘图!$B$1</c:f>
              <c:strCache>
                <c:ptCount val="1"/>
                <c:pt idx="0">
                  <c:v>2014年文献总经费（元）</c:v>
                </c:pt>
              </c:strCache>
            </c:strRef>
          </c:tx>
          <c:spPr>
            <a:ln w="28575">
              <a:noFill/>
            </a:ln>
          </c:spPr>
          <c:xVal>
            <c:strRef>
              <c:f>离散度绘图!$A$2:$A$33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离散度绘图!$B$2:$B$33</c:f>
              <c:numCache>
                <c:formatCode>General</c:formatCode>
                <c:ptCount val="32"/>
                <c:pt idx="3" formatCode="0.00_);[Red]\(0.00\)">
                  <c:v>1348400.6600000001</c:v>
                </c:pt>
                <c:pt idx="6" formatCode="0.00_);[Red]\(0.00\)">
                  <c:v>14822367.41</c:v>
                </c:pt>
                <c:pt idx="11" formatCode="0.00_);[Red]\(0.00\)">
                  <c:v>9484682.619999975</c:v>
                </c:pt>
                <c:pt idx="13" formatCode="0.00_);[Red]\(0.00\)">
                  <c:v>14442453.67</c:v>
                </c:pt>
                <c:pt idx="14" formatCode="0.00_);[Red]\(0.00\)">
                  <c:v>6900376.2300000004</c:v>
                </c:pt>
                <c:pt idx="16" formatCode="0.00_);[Red]\(0.00\)">
                  <c:v>7149480.6499999994</c:v>
                </c:pt>
                <c:pt idx="18" formatCode="0.00_);[Red]\(0.00\)">
                  <c:v>8950323.5600000005</c:v>
                </c:pt>
                <c:pt idx="19" formatCode="0.00_);[Red]\(0.00\)">
                  <c:v>3260000</c:v>
                </c:pt>
                <c:pt idx="20" formatCode="0.00_);[Red]\(0.00\)">
                  <c:v>8099897.5</c:v>
                </c:pt>
                <c:pt idx="21" formatCode="0.00_);[Red]\(0.00\)">
                  <c:v>5969356.04</c:v>
                </c:pt>
                <c:pt idx="22" formatCode="0.00_);[Red]\(0.00\)">
                  <c:v>14027859.15</c:v>
                </c:pt>
                <c:pt idx="23" formatCode="0.00_);[Red]\(0.00\)">
                  <c:v>20415240.82</c:v>
                </c:pt>
                <c:pt idx="25" formatCode="0.00_);[Red]\(0.00\)">
                  <c:v>12521533.189999985</c:v>
                </c:pt>
                <c:pt idx="27" formatCode="0.00_);[Red]\(0.00\)">
                  <c:v>6689000</c:v>
                </c:pt>
                <c:pt idx="28" formatCode="0.00_);[Red]\(0.00\)">
                  <c:v>5368224.1099999994</c:v>
                </c:pt>
                <c:pt idx="30" formatCode="0.00_);[Red]\(0.00\)">
                  <c:v>12951200</c:v>
                </c:pt>
                <c:pt idx="31" formatCode="0.00_);[Red]\(0.00\)">
                  <c:v>1948607</c:v>
                </c:pt>
              </c:numCache>
            </c:numRef>
          </c:yVal>
          <c:smooth val="0"/>
        </c:ser>
        <c:ser>
          <c:idx val="1"/>
          <c:order val="1"/>
          <c:tx>
            <c:strRef>
              <c:f>离散度绘图!$C$1</c:f>
              <c:strCache>
                <c:ptCount val="1"/>
                <c:pt idx="0">
                  <c:v>2013年文献总经费（元）</c:v>
                </c:pt>
              </c:strCache>
            </c:strRef>
          </c:tx>
          <c:spPr>
            <a:ln w="28575">
              <a:noFill/>
            </a:ln>
          </c:spPr>
          <c:xVal>
            <c:strRef>
              <c:f>离散度绘图!$A$2:$A$33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离散度绘图!$C$2:$C$33</c:f>
              <c:numCache>
                <c:formatCode>General</c:formatCode>
                <c:ptCount val="32"/>
                <c:pt idx="6" formatCode="0.00_);[Red]\(0.00\)">
                  <c:v>8876154</c:v>
                </c:pt>
                <c:pt idx="7" formatCode="0.00_);[Red]\(0.00\)">
                  <c:v>2230000</c:v>
                </c:pt>
                <c:pt idx="9" formatCode="0.00_);[Red]\(0.00\)">
                  <c:v>9870102</c:v>
                </c:pt>
                <c:pt idx="11" formatCode="0.00_);[Red]\(0.00\)">
                  <c:v>10014473</c:v>
                </c:pt>
                <c:pt idx="13" formatCode="0.00_);[Red]\(0.00\)">
                  <c:v>14095866</c:v>
                </c:pt>
                <c:pt idx="14" formatCode="0.00_);[Red]\(0.00\)">
                  <c:v>6691777.5</c:v>
                </c:pt>
                <c:pt idx="15" formatCode="0.00_);[Red]\(0.00\)">
                  <c:v>8646612</c:v>
                </c:pt>
                <c:pt idx="16" formatCode="0.00_);[Red]\(0.00\)">
                  <c:v>6405695.5</c:v>
                </c:pt>
                <c:pt idx="19" formatCode="0.00_);[Red]\(0.00\)">
                  <c:v>3712143.5</c:v>
                </c:pt>
                <c:pt idx="20" formatCode="0.00_);[Red]\(0.00\)">
                  <c:v>9194989</c:v>
                </c:pt>
                <c:pt idx="21" formatCode="0.00_);[Red]\(0.00\)">
                  <c:v>3137043.5</c:v>
                </c:pt>
                <c:pt idx="22" formatCode="0.00_);[Red]\(0.00\)">
                  <c:v>13767092</c:v>
                </c:pt>
                <c:pt idx="25" formatCode="0.00_);[Red]\(0.00\)">
                  <c:v>11082809</c:v>
                </c:pt>
                <c:pt idx="27" formatCode="0.00_);[Red]\(0.00\)">
                  <c:v>6155000</c:v>
                </c:pt>
                <c:pt idx="28" formatCode="0.00_);[Red]\(0.00\)">
                  <c:v>5021715</c:v>
                </c:pt>
                <c:pt idx="29" formatCode="0.00_);[Red]\(0.00\)">
                  <c:v>14516800</c:v>
                </c:pt>
                <c:pt idx="30" formatCode="0.00_);[Red]\(0.00\)">
                  <c:v>12950700</c:v>
                </c:pt>
              </c:numCache>
            </c:numRef>
          </c:yVal>
          <c:smooth val="0"/>
        </c:ser>
        <c:ser>
          <c:idx val="2"/>
          <c:order val="2"/>
          <c:tx>
            <c:strRef>
              <c:f>离散度绘图!$D$1</c:f>
              <c:strCache>
                <c:ptCount val="1"/>
                <c:pt idx="0">
                  <c:v>2012年文献总经费（元）</c:v>
                </c:pt>
              </c:strCache>
            </c:strRef>
          </c:tx>
          <c:spPr>
            <a:ln w="28575">
              <a:noFill/>
            </a:ln>
          </c:spPr>
          <c:xVal>
            <c:strRef>
              <c:f>离散度绘图!$A$2:$A$33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离散度绘图!$D$2:$D$33</c:f>
              <c:numCache>
                <c:formatCode>General</c:formatCode>
                <c:ptCount val="32"/>
                <c:pt idx="0" formatCode="0.00_);[Red]\(0.00\)">
                  <c:v>1710000</c:v>
                </c:pt>
                <c:pt idx="2" formatCode="0.00_);[Red]\(0.00\)">
                  <c:v>3408855</c:v>
                </c:pt>
                <c:pt idx="4" formatCode="0.00_);[Red]\(0.00\)">
                  <c:v>5027103.5</c:v>
                </c:pt>
                <c:pt idx="5" formatCode="0.00_);[Red]\(0.00\)">
                  <c:v>3766634.5</c:v>
                </c:pt>
                <c:pt idx="6" formatCode="0.00_);[Red]\(0.00\)">
                  <c:v>8636665</c:v>
                </c:pt>
                <c:pt idx="8" formatCode="0.00_);[Red]\(0.00\)">
                  <c:v>12294094</c:v>
                </c:pt>
                <c:pt idx="10" formatCode="0.00_);[Red]\(0.00\)">
                  <c:v>1491580</c:v>
                </c:pt>
                <c:pt idx="13" formatCode="0.00_);[Red]\(0.00\)">
                  <c:v>14497758</c:v>
                </c:pt>
                <c:pt idx="14" formatCode="0.00_);[Red]\(0.00\)">
                  <c:v>6166884.5</c:v>
                </c:pt>
                <c:pt idx="15" formatCode="0.00_);[Red]\(0.00\)">
                  <c:v>8192747.5</c:v>
                </c:pt>
                <c:pt idx="16" formatCode="0.00_);[Red]\(0.00\)">
                  <c:v>5009086</c:v>
                </c:pt>
                <c:pt idx="20" formatCode="0.00_);[Red]\(0.00\)">
                  <c:v>7998174</c:v>
                </c:pt>
                <c:pt idx="21" formatCode="0.00_);[Red]\(0.00\)">
                  <c:v>14359000</c:v>
                </c:pt>
                <c:pt idx="22" formatCode="0.00_);[Red]\(0.00\)">
                  <c:v>8032268.5</c:v>
                </c:pt>
                <c:pt idx="25" formatCode="0.00_);[Red]\(0.00\)">
                  <c:v>11243409</c:v>
                </c:pt>
                <c:pt idx="27" formatCode="0.00_);[Red]\(0.00\)">
                  <c:v>5202000</c:v>
                </c:pt>
                <c:pt idx="28" formatCode="0.00_);[Red]\(0.00\)">
                  <c:v>4962415</c:v>
                </c:pt>
                <c:pt idx="30" formatCode="0.00_);[Red]\(0.00\)">
                  <c:v>13430900</c:v>
                </c:pt>
              </c:numCache>
            </c:numRef>
          </c:yVal>
          <c:smooth val="0"/>
        </c:ser>
        <c:ser>
          <c:idx val="3"/>
          <c:order val="3"/>
          <c:tx>
            <c:strRef>
              <c:f>离散度绘图!$E$1</c:f>
              <c:strCache>
                <c:ptCount val="1"/>
                <c:pt idx="0">
                  <c:v>2011年文献总经费（元）</c:v>
                </c:pt>
              </c:strCache>
            </c:strRef>
          </c:tx>
          <c:spPr>
            <a:ln w="28575">
              <a:noFill/>
            </a:ln>
          </c:spPr>
          <c:xVal>
            <c:strRef>
              <c:f>离散度绘图!$A$2:$A$33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离散度绘图!$E$2:$E$33</c:f>
              <c:numCache>
                <c:formatCode>General</c:formatCode>
                <c:ptCount val="32"/>
                <c:pt idx="3">
                  <c:v>1043007.6</c:v>
                </c:pt>
                <c:pt idx="6">
                  <c:v>4472199</c:v>
                </c:pt>
                <c:pt idx="8">
                  <c:v>12052434</c:v>
                </c:pt>
                <c:pt idx="9">
                  <c:v>5802204.5</c:v>
                </c:pt>
                <c:pt idx="12">
                  <c:v>7261201</c:v>
                </c:pt>
                <c:pt idx="13">
                  <c:v>10352192</c:v>
                </c:pt>
                <c:pt idx="14">
                  <c:v>6870001.5</c:v>
                </c:pt>
                <c:pt idx="18">
                  <c:v>6198791</c:v>
                </c:pt>
                <c:pt idx="19">
                  <c:v>3198494</c:v>
                </c:pt>
                <c:pt idx="20">
                  <c:v>9117662</c:v>
                </c:pt>
                <c:pt idx="22">
                  <c:v>8680385</c:v>
                </c:pt>
                <c:pt idx="23">
                  <c:v>11497101</c:v>
                </c:pt>
                <c:pt idx="24">
                  <c:v>2858359.3</c:v>
                </c:pt>
                <c:pt idx="26">
                  <c:v>1783810.5</c:v>
                </c:pt>
                <c:pt idx="27">
                  <c:v>10664600</c:v>
                </c:pt>
                <c:pt idx="28">
                  <c:v>4401073</c:v>
                </c:pt>
                <c:pt idx="30">
                  <c:v>11047100</c:v>
                </c:pt>
              </c:numCache>
            </c:numRef>
          </c:yVal>
          <c:smooth val="0"/>
        </c:ser>
        <c:ser>
          <c:idx val="4"/>
          <c:order val="4"/>
          <c:tx>
            <c:strRef>
              <c:f>离散度绘图!$F$1</c:f>
              <c:strCache>
                <c:ptCount val="1"/>
                <c:pt idx="0">
                  <c:v>2010年文献总经费（元）</c:v>
                </c:pt>
              </c:strCache>
            </c:strRef>
          </c:tx>
          <c:spPr>
            <a:ln w="28575">
              <a:noFill/>
            </a:ln>
          </c:spPr>
          <c:xVal>
            <c:strRef>
              <c:f>离散度绘图!$A$2:$A$33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离散度绘图!$F$2:$F$33</c:f>
              <c:numCache>
                <c:formatCode>General</c:formatCode>
                <c:ptCount val="32"/>
                <c:pt idx="1">
                  <c:v>6367500</c:v>
                </c:pt>
                <c:pt idx="3">
                  <c:v>747646.9375</c:v>
                </c:pt>
                <c:pt idx="5">
                  <c:v>2622004.75</c:v>
                </c:pt>
                <c:pt idx="6">
                  <c:v>8189384.5</c:v>
                </c:pt>
                <c:pt idx="8">
                  <c:v>7091108</c:v>
                </c:pt>
                <c:pt idx="9">
                  <c:v>4103500</c:v>
                </c:pt>
                <c:pt idx="10">
                  <c:v>1435250</c:v>
                </c:pt>
                <c:pt idx="12">
                  <c:v>6504000</c:v>
                </c:pt>
                <c:pt idx="13">
                  <c:v>9175503</c:v>
                </c:pt>
                <c:pt idx="14">
                  <c:v>5560225.5</c:v>
                </c:pt>
                <c:pt idx="15">
                  <c:v>6666647</c:v>
                </c:pt>
                <c:pt idx="17">
                  <c:v>1580873.625</c:v>
                </c:pt>
                <c:pt idx="18">
                  <c:v>5389608</c:v>
                </c:pt>
                <c:pt idx="20">
                  <c:v>8588750</c:v>
                </c:pt>
                <c:pt idx="22">
                  <c:v>9791649</c:v>
                </c:pt>
                <c:pt idx="23">
                  <c:v>12316349</c:v>
                </c:pt>
                <c:pt idx="25">
                  <c:v>7360836.5</c:v>
                </c:pt>
                <c:pt idx="27">
                  <c:v>7735250</c:v>
                </c:pt>
                <c:pt idx="28">
                  <c:v>3722869.5</c:v>
                </c:pt>
                <c:pt idx="30">
                  <c:v>10680000</c:v>
                </c:pt>
              </c:numCache>
            </c:numRef>
          </c:yVal>
          <c:smooth val="0"/>
        </c:ser>
        <c:dLbls>
          <c:showLegendKey val="0"/>
          <c:showVal val="0"/>
          <c:showCatName val="0"/>
          <c:showSerName val="0"/>
          <c:showPercent val="0"/>
          <c:showBubbleSize val="0"/>
        </c:dLbls>
        <c:axId val="367108320"/>
        <c:axId val="247043968"/>
      </c:scatterChart>
      <c:valAx>
        <c:axId val="367108320"/>
        <c:scaling>
          <c:orientation val="minMax"/>
        </c:scaling>
        <c:delete val="0"/>
        <c:axPos val="b"/>
        <c:majorTickMark val="out"/>
        <c:minorTickMark val="none"/>
        <c:tickLblPos val="nextTo"/>
        <c:txPr>
          <a:bodyPr/>
          <a:lstStyle/>
          <a:p>
            <a:pPr>
              <a:defRPr sz="800" baseline="0"/>
            </a:pPr>
            <a:endParaRPr lang="zh-CN"/>
          </a:p>
        </c:txPr>
        <c:crossAx val="247043968"/>
        <c:crosses val="autoZero"/>
        <c:crossBetween val="midCat"/>
      </c:valAx>
      <c:valAx>
        <c:axId val="247043968"/>
        <c:scaling>
          <c:orientation val="minMax"/>
        </c:scaling>
        <c:delete val="0"/>
        <c:axPos val="l"/>
        <c:majorGridlines/>
        <c:numFmt formatCode="General" sourceLinked="0"/>
        <c:majorTickMark val="out"/>
        <c:minorTickMark val="cross"/>
        <c:tickLblPos val="nextTo"/>
        <c:txPr>
          <a:bodyPr/>
          <a:lstStyle/>
          <a:p>
            <a:pPr>
              <a:defRPr sz="800" baseline="0"/>
            </a:pPr>
            <a:endParaRPr lang="zh-CN"/>
          </a:p>
        </c:txPr>
        <c:crossAx val="367108320"/>
        <c:crosses val="autoZero"/>
        <c:crossBetween val="midCat"/>
        <c:minorUnit val="1000000"/>
      </c:valAx>
    </c:plotArea>
    <c:legend>
      <c:legendPos val="r"/>
      <c:layout>
        <c:manualLayout>
          <c:xMode val="edge"/>
          <c:yMode val="edge"/>
          <c:x val="0.84293760292265751"/>
          <c:y val="0.24825032808398947"/>
          <c:w val="0.1430026431230367"/>
          <c:h val="0.5850828511337135"/>
        </c:manualLayout>
      </c:layout>
      <c:overlay val="0"/>
      <c:txPr>
        <a:bodyPr/>
        <a:lstStyle/>
        <a:p>
          <a:pPr>
            <a:defRPr sz="800" baseline="0"/>
          </a:pPr>
          <a:endParaRPr lang="zh-CN"/>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11906201948688"/>
          <c:y val="3.6687379564327591E-2"/>
          <c:w val="0.71583240272187265"/>
          <c:h val="0.86589547939839784"/>
        </c:manualLayout>
      </c:layout>
      <c:scatterChart>
        <c:scatterStyle val="lineMarker"/>
        <c:varyColors val="0"/>
        <c:ser>
          <c:idx val="0"/>
          <c:order val="0"/>
          <c:tx>
            <c:strRef>
              <c:f>离散度绘图!$I$1</c:f>
              <c:strCache>
                <c:ptCount val="1"/>
                <c:pt idx="0">
                  <c:v>2014年电子资源经费（元）</c:v>
                </c:pt>
              </c:strCache>
            </c:strRef>
          </c:tx>
          <c:spPr>
            <a:ln w="28575">
              <a:noFill/>
            </a:ln>
          </c:spPr>
          <c:xVal>
            <c:strRef>
              <c:f>离散度绘图!$H$2:$H$33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离散度绘图!$I$2:$I$33</c:f>
              <c:numCache>
                <c:formatCode>General</c:formatCode>
                <c:ptCount val="32"/>
                <c:pt idx="3" formatCode="0.00_);[Red]\(0.00\)">
                  <c:v>128445</c:v>
                </c:pt>
                <c:pt idx="6" formatCode="0.00_);[Red]\(0.00\)">
                  <c:v>9485050.7199998554</c:v>
                </c:pt>
                <c:pt idx="11" formatCode="0.00_);[Red]\(0.00\)">
                  <c:v>5538904</c:v>
                </c:pt>
                <c:pt idx="13" formatCode="0.00_);[Red]\(0.00\)">
                  <c:v>7735644.5600000005</c:v>
                </c:pt>
                <c:pt idx="14" formatCode="0.00_);[Red]\(0.00\)">
                  <c:v>3845549</c:v>
                </c:pt>
                <c:pt idx="16" formatCode="0.00_);[Red]\(0.00\)">
                  <c:v>4254517.75</c:v>
                </c:pt>
                <c:pt idx="18" formatCode="0.00_);[Red]\(0.00\)">
                  <c:v>3837512</c:v>
                </c:pt>
                <c:pt idx="19" formatCode="0.00_);[Red]\(0.00\)">
                  <c:v>1560000</c:v>
                </c:pt>
                <c:pt idx="20" formatCode="0.00_);[Red]\(0.00\)">
                  <c:v>3419227</c:v>
                </c:pt>
                <c:pt idx="21" formatCode="0.00_);[Red]\(0.00\)">
                  <c:v>476000</c:v>
                </c:pt>
                <c:pt idx="22" formatCode="0.00_);[Red]\(0.00\)">
                  <c:v>8968369.9000000004</c:v>
                </c:pt>
                <c:pt idx="23" formatCode="0.00_);[Red]\(0.00\)">
                  <c:v>12571205.15</c:v>
                </c:pt>
                <c:pt idx="25" formatCode="0.00_);[Red]\(0.00\)">
                  <c:v>7109134</c:v>
                </c:pt>
                <c:pt idx="27" formatCode="0.00_);[Red]\(0.00\)">
                  <c:v>2650000</c:v>
                </c:pt>
                <c:pt idx="28" formatCode="0.00_);[Red]\(0.00\)">
                  <c:v>2285701</c:v>
                </c:pt>
                <c:pt idx="30" formatCode="0.00_);[Red]\(0.00\)">
                  <c:v>6683900</c:v>
                </c:pt>
                <c:pt idx="31" formatCode="0.00_);[Red]\(0.00\)">
                  <c:v>768607</c:v>
                </c:pt>
              </c:numCache>
            </c:numRef>
          </c:yVal>
          <c:smooth val="0"/>
        </c:ser>
        <c:ser>
          <c:idx val="1"/>
          <c:order val="1"/>
          <c:tx>
            <c:strRef>
              <c:f>离散度绘图!$J$1</c:f>
              <c:strCache>
                <c:ptCount val="1"/>
                <c:pt idx="0">
                  <c:v>2013年电子资源经费（元）</c:v>
                </c:pt>
              </c:strCache>
            </c:strRef>
          </c:tx>
          <c:spPr>
            <a:ln w="28575">
              <a:noFill/>
            </a:ln>
          </c:spPr>
          <c:xVal>
            <c:strRef>
              <c:f>离散度绘图!$H$2:$H$33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离散度绘图!$J$2:$J$33</c:f>
              <c:numCache>
                <c:formatCode>General</c:formatCode>
                <c:ptCount val="32"/>
                <c:pt idx="6" formatCode="0.00_);[Red]\(0.00\)">
                  <c:v>3680800</c:v>
                </c:pt>
                <c:pt idx="7" formatCode="0.00_);[Red]\(0.00\)">
                  <c:v>1000000</c:v>
                </c:pt>
                <c:pt idx="9" formatCode="0.00_);[Red]\(0.00\)">
                  <c:v>4663739</c:v>
                </c:pt>
                <c:pt idx="11" formatCode="0.00_);[Red]\(0.00\)">
                  <c:v>4726396</c:v>
                </c:pt>
                <c:pt idx="13" formatCode="0.00_);[Red]\(0.00\)">
                  <c:v>8312122</c:v>
                </c:pt>
                <c:pt idx="14" formatCode="0.00_);[Red]\(0.00\)">
                  <c:v>3415970</c:v>
                </c:pt>
                <c:pt idx="15" formatCode="0.00_);[Red]\(0.00\)">
                  <c:v>2877011</c:v>
                </c:pt>
                <c:pt idx="16" formatCode="0.00_);[Red]\(0.00\)">
                  <c:v>3132449</c:v>
                </c:pt>
                <c:pt idx="19" formatCode="0.00_);[Red]\(0.00\)">
                  <c:v>1580000</c:v>
                </c:pt>
                <c:pt idx="20" formatCode="0.00_);[Red]\(0.00\)">
                  <c:v>3487089.75</c:v>
                </c:pt>
                <c:pt idx="21" formatCode="0.00_);[Red]\(0.00\)">
                  <c:v>560000</c:v>
                </c:pt>
                <c:pt idx="22" formatCode="0.00_);[Red]\(0.00\)">
                  <c:v>8820021</c:v>
                </c:pt>
                <c:pt idx="25" formatCode="0.00_);[Red]\(0.00\)">
                  <c:v>5266628</c:v>
                </c:pt>
                <c:pt idx="27" formatCode="0.00_);[Red]\(0.00\)">
                  <c:v>1840000</c:v>
                </c:pt>
                <c:pt idx="28" formatCode="0.00_);[Red]\(0.00\)">
                  <c:v>1514347.5</c:v>
                </c:pt>
                <c:pt idx="29" formatCode="0.00_);[Red]\(0.00\)">
                  <c:v>5347000</c:v>
                </c:pt>
                <c:pt idx="30" formatCode="0.00_);[Red]\(0.00\)">
                  <c:v>7326400</c:v>
                </c:pt>
              </c:numCache>
            </c:numRef>
          </c:yVal>
          <c:smooth val="0"/>
        </c:ser>
        <c:ser>
          <c:idx val="2"/>
          <c:order val="2"/>
          <c:tx>
            <c:strRef>
              <c:f>离散度绘图!$K$1</c:f>
              <c:strCache>
                <c:ptCount val="1"/>
                <c:pt idx="0">
                  <c:v>2012年电子资源经费（元）</c:v>
                </c:pt>
              </c:strCache>
            </c:strRef>
          </c:tx>
          <c:spPr>
            <a:ln w="28575">
              <a:noFill/>
            </a:ln>
          </c:spPr>
          <c:xVal>
            <c:strRef>
              <c:f>离散度绘图!$H$2:$H$33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离散度绘图!$K$2:$K$33</c:f>
              <c:numCache>
                <c:formatCode>General</c:formatCode>
                <c:ptCount val="32"/>
                <c:pt idx="2" formatCode="0.00_);[Red]\(0.00\)">
                  <c:v>1441596</c:v>
                </c:pt>
                <c:pt idx="4" formatCode="0.00_);[Red]\(0.00\)">
                  <c:v>2374676</c:v>
                </c:pt>
                <c:pt idx="5" formatCode="0.00_);[Red]\(0.00\)">
                  <c:v>1349141</c:v>
                </c:pt>
                <c:pt idx="6" formatCode="0.00_);[Red]\(0.00\)">
                  <c:v>4211171</c:v>
                </c:pt>
                <c:pt idx="8" formatCode="0.00_);[Red]\(0.00\)">
                  <c:v>8567668</c:v>
                </c:pt>
                <c:pt idx="10" formatCode="0.00_);[Red]\(0.00\)">
                  <c:v>504331</c:v>
                </c:pt>
                <c:pt idx="13" formatCode="0.00_);[Red]\(0.00\)">
                  <c:v>7059410</c:v>
                </c:pt>
                <c:pt idx="14" formatCode="0.00_);[Red]\(0.00\)">
                  <c:v>2865395</c:v>
                </c:pt>
                <c:pt idx="15" formatCode="0.00_);[Red]\(0.00\)">
                  <c:v>3060711</c:v>
                </c:pt>
                <c:pt idx="16" formatCode="0.00_);[Red]\(0.00\)">
                  <c:v>2686420</c:v>
                </c:pt>
                <c:pt idx="18" formatCode="0.00_);[Red]\(0.00\)">
                  <c:v>3752496</c:v>
                </c:pt>
                <c:pt idx="22" formatCode="0.00_);[Red]\(0.00\)">
                  <c:v>5730687.5</c:v>
                </c:pt>
                <c:pt idx="25" formatCode="0.00_);[Red]\(0.00\)">
                  <c:v>5619526</c:v>
                </c:pt>
                <c:pt idx="27" formatCode="0.00_);[Red]\(0.00\)">
                  <c:v>1750000</c:v>
                </c:pt>
                <c:pt idx="28" formatCode="0.00_);[Red]\(0.00\)">
                  <c:v>1815643</c:v>
                </c:pt>
                <c:pt idx="30" formatCode="0.00_);[Red]\(0.00\)">
                  <c:v>7452684.5</c:v>
                </c:pt>
              </c:numCache>
            </c:numRef>
          </c:yVal>
          <c:smooth val="0"/>
        </c:ser>
        <c:ser>
          <c:idx val="3"/>
          <c:order val="3"/>
          <c:tx>
            <c:strRef>
              <c:f>离散度绘图!$L$1</c:f>
              <c:strCache>
                <c:ptCount val="1"/>
                <c:pt idx="0">
                  <c:v>2011年电子资源经费（元）</c:v>
                </c:pt>
              </c:strCache>
            </c:strRef>
          </c:tx>
          <c:spPr>
            <a:ln w="28575">
              <a:noFill/>
            </a:ln>
          </c:spPr>
          <c:xVal>
            <c:strRef>
              <c:f>离散度绘图!$H$2:$H$33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离散度绘图!$L$2:$L$33</c:f>
              <c:numCache>
                <c:formatCode>General</c:formatCode>
                <c:ptCount val="32"/>
                <c:pt idx="3">
                  <c:v>404000</c:v>
                </c:pt>
                <c:pt idx="6">
                  <c:v>1683266</c:v>
                </c:pt>
                <c:pt idx="8">
                  <c:v>9163701</c:v>
                </c:pt>
                <c:pt idx="9">
                  <c:v>2944830</c:v>
                </c:pt>
                <c:pt idx="12">
                  <c:v>3714547</c:v>
                </c:pt>
                <c:pt idx="13">
                  <c:v>5095000</c:v>
                </c:pt>
                <c:pt idx="14">
                  <c:v>3859669</c:v>
                </c:pt>
                <c:pt idx="18">
                  <c:v>1893439</c:v>
                </c:pt>
                <c:pt idx="19">
                  <c:v>1450000</c:v>
                </c:pt>
                <c:pt idx="20">
                  <c:v>2054617.5</c:v>
                </c:pt>
                <c:pt idx="22">
                  <c:v>5244113</c:v>
                </c:pt>
                <c:pt idx="23">
                  <c:v>59000</c:v>
                </c:pt>
                <c:pt idx="24">
                  <c:v>555000</c:v>
                </c:pt>
                <c:pt idx="26">
                  <c:v>771768</c:v>
                </c:pt>
                <c:pt idx="27">
                  <c:v>1116000</c:v>
                </c:pt>
                <c:pt idx="28">
                  <c:v>1446190</c:v>
                </c:pt>
                <c:pt idx="30">
                  <c:v>5358300</c:v>
                </c:pt>
              </c:numCache>
            </c:numRef>
          </c:yVal>
          <c:smooth val="0"/>
        </c:ser>
        <c:ser>
          <c:idx val="4"/>
          <c:order val="4"/>
          <c:tx>
            <c:strRef>
              <c:f>离散度绘图!$M$1</c:f>
              <c:strCache>
                <c:ptCount val="1"/>
                <c:pt idx="0">
                  <c:v>2010年电子资源经费（元）</c:v>
                </c:pt>
              </c:strCache>
            </c:strRef>
          </c:tx>
          <c:spPr>
            <a:ln w="28575">
              <a:noFill/>
            </a:ln>
          </c:spPr>
          <c:xVal>
            <c:strRef>
              <c:f>离散度绘图!$H$2:$H$33</c:f>
              <c:strCache>
                <c:ptCount val="32"/>
                <c:pt idx="0">
                  <c:v>安徽农业大学</c:v>
                </c:pt>
                <c:pt idx="1">
                  <c:v>北京林业大学</c:v>
                </c:pt>
                <c:pt idx="2">
                  <c:v>北京农学院</c:v>
                </c:pt>
                <c:pt idx="3">
                  <c:v>大连海洋大学 </c:v>
                </c:pt>
                <c:pt idx="4">
                  <c:v>东北林业大学</c:v>
                </c:pt>
                <c:pt idx="5">
                  <c:v>东北农业大学图书馆 </c:v>
                </c:pt>
                <c:pt idx="6">
                  <c:v>福建农林大学</c:v>
                </c:pt>
                <c:pt idx="7">
                  <c:v>甘肃农业大学</c:v>
                </c:pt>
                <c:pt idx="8">
                  <c:v>广西大学 </c:v>
                </c:pt>
                <c:pt idx="9">
                  <c:v>海南大学 </c:v>
                </c:pt>
                <c:pt idx="10">
                  <c:v>黑龙江八一农垦大学 </c:v>
                </c:pt>
                <c:pt idx="11">
                  <c:v>华南农业大学</c:v>
                </c:pt>
                <c:pt idx="12">
                  <c:v>华中农业大学</c:v>
                </c:pt>
                <c:pt idx="13">
                  <c:v>江南大学 </c:v>
                </c:pt>
                <c:pt idx="14">
                  <c:v>南京林业大学</c:v>
                </c:pt>
                <c:pt idx="15">
                  <c:v>南京农业大学</c:v>
                </c:pt>
                <c:pt idx="16">
                  <c:v>山东农业大学 </c:v>
                </c:pt>
                <c:pt idx="17">
                  <c:v>山西农业大学</c:v>
                </c:pt>
                <c:pt idx="18">
                  <c:v>上海海洋大学</c:v>
                </c:pt>
                <c:pt idx="19">
                  <c:v>沈阳农业大学</c:v>
                </c:pt>
                <c:pt idx="20">
                  <c:v>四川农业大学</c:v>
                </c:pt>
                <c:pt idx="21">
                  <c:v>天津农学院 </c:v>
                </c:pt>
                <c:pt idx="22">
                  <c:v>西北农林科技大学</c:v>
                </c:pt>
                <c:pt idx="23">
                  <c:v>西南大学</c:v>
                </c:pt>
                <c:pt idx="24">
                  <c:v>西南林业大学 </c:v>
                </c:pt>
                <c:pt idx="25">
                  <c:v>扬州大学 </c:v>
                </c:pt>
                <c:pt idx="26">
                  <c:v>云南农业大学 </c:v>
                </c:pt>
                <c:pt idx="27">
                  <c:v>浙江海洋学院 </c:v>
                </c:pt>
                <c:pt idx="28">
                  <c:v>浙江农林大学</c:v>
                </c:pt>
                <c:pt idx="29">
                  <c:v>中国海洋大学</c:v>
                </c:pt>
                <c:pt idx="30">
                  <c:v>中国农业大学</c:v>
                </c:pt>
                <c:pt idx="31">
                  <c:v>仲恺农业工程学院 </c:v>
                </c:pt>
              </c:strCache>
            </c:strRef>
          </c:xVal>
          <c:yVal>
            <c:numRef>
              <c:f>离散度绘图!$M$2:$M$33</c:f>
              <c:numCache>
                <c:formatCode>General</c:formatCode>
                <c:ptCount val="32"/>
                <c:pt idx="1">
                  <c:v>2320000</c:v>
                </c:pt>
                <c:pt idx="3">
                  <c:v>188000</c:v>
                </c:pt>
                <c:pt idx="6">
                  <c:v>3286603</c:v>
                </c:pt>
                <c:pt idx="8">
                  <c:v>3030190</c:v>
                </c:pt>
                <c:pt idx="9">
                  <c:v>1787000</c:v>
                </c:pt>
                <c:pt idx="10">
                  <c:v>441014</c:v>
                </c:pt>
                <c:pt idx="12">
                  <c:v>3200000</c:v>
                </c:pt>
                <c:pt idx="13">
                  <c:v>4783683</c:v>
                </c:pt>
                <c:pt idx="14">
                  <c:v>2056838</c:v>
                </c:pt>
                <c:pt idx="15">
                  <c:v>1528818</c:v>
                </c:pt>
                <c:pt idx="17">
                  <c:v>926131</c:v>
                </c:pt>
                <c:pt idx="18">
                  <c:v>1665662</c:v>
                </c:pt>
                <c:pt idx="20">
                  <c:v>1969773</c:v>
                </c:pt>
                <c:pt idx="22">
                  <c:v>5404720</c:v>
                </c:pt>
                <c:pt idx="23">
                  <c:v>6513508</c:v>
                </c:pt>
                <c:pt idx="25">
                  <c:v>246095</c:v>
                </c:pt>
                <c:pt idx="27">
                  <c:v>1748500</c:v>
                </c:pt>
                <c:pt idx="28">
                  <c:v>742072</c:v>
                </c:pt>
                <c:pt idx="30">
                  <c:v>4586500</c:v>
                </c:pt>
              </c:numCache>
            </c:numRef>
          </c:yVal>
          <c:smooth val="0"/>
        </c:ser>
        <c:dLbls>
          <c:showLegendKey val="0"/>
          <c:showVal val="0"/>
          <c:showCatName val="0"/>
          <c:showSerName val="0"/>
          <c:showPercent val="0"/>
          <c:showBubbleSize val="0"/>
        </c:dLbls>
        <c:axId val="248479152"/>
        <c:axId val="247811520"/>
      </c:scatterChart>
      <c:valAx>
        <c:axId val="248479152"/>
        <c:scaling>
          <c:orientation val="minMax"/>
        </c:scaling>
        <c:delete val="0"/>
        <c:axPos val="b"/>
        <c:majorTickMark val="out"/>
        <c:minorTickMark val="none"/>
        <c:tickLblPos val="nextTo"/>
        <c:txPr>
          <a:bodyPr/>
          <a:lstStyle/>
          <a:p>
            <a:pPr>
              <a:defRPr sz="800" baseline="0"/>
            </a:pPr>
            <a:endParaRPr lang="zh-CN"/>
          </a:p>
        </c:txPr>
        <c:crossAx val="247811520"/>
        <c:crosses val="autoZero"/>
        <c:crossBetween val="midCat"/>
      </c:valAx>
      <c:valAx>
        <c:axId val="247811520"/>
        <c:scaling>
          <c:orientation val="minMax"/>
        </c:scaling>
        <c:delete val="0"/>
        <c:axPos val="l"/>
        <c:majorGridlines/>
        <c:numFmt formatCode="General" sourceLinked="0"/>
        <c:majorTickMark val="out"/>
        <c:minorTickMark val="cross"/>
        <c:tickLblPos val="nextTo"/>
        <c:txPr>
          <a:bodyPr/>
          <a:lstStyle/>
          <a:p>
            <a:pPr>
              <a:defRPr sz="800" baseline="0"/>
            </a:pPr>
            <a:endParaRPr lang="zh-CN"/>
          </a:p>
        </c:txPr>
        <c:crossAx val="248479152"/>
        <c:crosses val="autoZero"/>
        <c:crossBetween val="midCat"/>
      </c:valAx>
    </c:plotArea>
    <c:legend>
      <c:legendPos val="r"/>
      <c:layout>
        <c:manualLayout>
          <c:xMode val="edge"/>
          <c:yMode val="edge"/>
          <c:x val="0.82612948423585264"/>
          <c:y val="0.15085848643919894"/>
          <c:w val="0.15720388069719557"/>
          <c:h val="0.7677274715660648"/>
        </c:manualLayout>
      </c:layout>
      <c:overlay val="0"/>
      <c:txPr>
        <a:bodyPr/>
        <a:lstStyle/>
        <a:p>
          <a:pPr>
            <a:defRPr sz="800" baseline="0"/>
          </a:pPr>
          <a:endParaRPr lang="zh-CN"/>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25103936499013"/>
          <c:y val="3.6551505135932083E-2"/>
          <c:w val="0.7265800526018209"/>
          <c:h val="0.89481766631022952"/>
        </c:manualLayout>
      </c:layout>
      <c:barChart>
        <c:barDir val="col"/>
        <c:grouping val="clustered"/>
        <c:varyColors val="0"/>
        <c:ser>
          <c:idx val="0"/>
          <c:order val="0"/>
          <c:tx>
            <c:strRef>
              <c:f>'附表3-2010-2014年经费统计'!$B$44</c:f>
              <c:strCache>
                <c:ptCount val="1"/>
                <c:pt idx="0">
                  <c:v>平均文献总经费（元）</c:v>
                </c:pt>
              </c:strCache>
            </c:strRef>
          </c:tx>
          <c:invertIfNegative val="0"/>
          <c:dLbls>
            <c:spPr>
              <a:noFill/>
              <a:ln>
                <a:noFill/>
              </a:ln>
              <a:effectLst/>
            </c:spPr>
            <c:txPr>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'附表3-2010-2014年经费统计'!$A$45:$A$49</c:f>
              <c:strCache>
                <c:ptCount val="5"/>
                <c:pt idx="0">
                  <c:v>2010年</c:v>
                </c:pt>
                <c:pt idx="1">
                  <c:v>2011年</c:v>
                </c:pt>
                <c:pt idx="2">
                  <c:v>2012年</c:v>
                </c:pt>
                <c:pt idx="3">
                  <c:v>2013年</c:v>
                </c:pt>
                <c:pt idx="4">
                  <c:v>2014年</c:v>
                </c:pt>
              </c:strCache>
            </c:strRef>
          </c:cat>
          <c:val>
            <c:numRef>
              <c:f>'附表3-2010-2014年经费统计'!$B$45:$B$49</c:f>
              <c:numCache>
                <c:formatCode>General</c:formatCode>
                <c:ptCount val="5"/>
                <c:pt idx="0">
                  <c:v>6049945</c:v>
                </c:pt>
                <c:pt idx="1">
                  <c:v>6640845</c:v>
                </c:pt>
                <c:pt idx="2">
                  <c:v>7522274</c:v>
                </c:pt>
                <c:pt idx="3">
                  <c:v>8612840</c:v>
                </c:pt>
                <c:pt idx="4">
                  <c:v>9082224</c:v>
                </c:pt>
              </c:numCache>
            </c:numRef>
          </c:val>
        </c:ser>
        <c:ser>
          <c:idx val="1"/>
          <c:order val="1"/>
          <c:tx>
            <c:strRef>
              <c:f>'附表3-2010-2014年经费统计'!$C$44</c:f>
              <c:strCache>
                <c:ptCount val="1"/>
                <c:pt idx="0">
                  <c:v>平均电子资源经费（元）</c:v>
                </c:pt>
              </c:strCache>
            </c:strRef>
          </c:tx>
          <c:invertIfNegative val="0"/>
          <c:dLbls>
            <c:spPr>
              <a:noFill/>
              <a:ln>
                <a:noFill/>
              </a:ln>
              <a:effectLst/>
            </c:spPr>
            <c:txPr>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'附表3-2010-2014年经费统计'!$A$45:$A$49</c:f>
              <c:strCache>
                <c:ptCount val="5"/>
                <c:pt idx="0">
                  <c:v>2010年</c:v>
                </c:pt>
                <c:pt idx="1">
                  <c:v>2011年</c:v>
                </c:pt>
                <c:pt idx="2">
                  <c:v>2012年</c:v>
                </c:pt>
                <c:pt idx="3">
                  <c:v>2013年</c:v>
                </c:pt>
                <c:pt idx="4">
                  <c:v>2014年</c:v>
                </c:pt>
              </c:strCache>
            </c:strRef>
          </c:cat>
          <c:val>
            <c:numRef>
              <c:f>'附表3-2010-2014年经费统计'!$C$45:$C$49</c:f>
              <c:numCache>
                <c:formatCode>General</c:formatCode>
                <c:ptCount val="5"/>
                <c:pt idx="0">
                  <c:v>2324367</c:v>
                </c:pt>
                <c:pt idx="1">
                  <c:v>2590946</c:v>
                </c:pt>
                <c:pt idx="2">
                  <c:v>3765097</c:v>
                </c:pt>
                <c:pt idx="3">
                  <c:v>3763973</c:v>
                </c:pt>
                <c:pt idx="4">
                  <c:v>4664617</c:v>
                </c:pt>
              </c:numCache>
            </c:numRef>
          </c:val>
        </c:ser>
        <c:dLbls>
          <c:showLegendKey val="0"/>
          <c:showVal val="0"/>
          <c:showCatName val="0"/>
          <c:showSerName val="0"/>
          <c:showPercent val="0"/>
          <c:showBubbleSize val="0"/>
        </c:dLbls>
        <c:gapWidth val="150"/>
        <c:axId val="508715296"/>
        <c:axId val="508715856"/>
      </c:barChart>
      <c:catAx>
        <c:axId val="508715296"/>
        <c:scaling>
          <c:orientation val="minMax"/>
        </c:scaling>
        <c:delete val="0"/>
        <c:axPos val="b"/>
        <c:numFmt formatCode="General" sourceLinked="0"/>
        <c:majorTickMark val="out"/>
        <c:minorTickMark val="none"/>
        <c:tickLblPos val="nextTo"/>
        <c:txPr>
          <a:bodyPr/>
          <a:lstStyle/>
          <a:p>
            <a:pPr>
              <a:defRPr sz="800" baseline="0"/>
            </a:pPr>
            <a:endParaRPr lang="zh-CN"/>
          </a:p>
        </c:txPr>
        <c:crossAx val="508715856"/>
        <c:crosses val="autoZero"/>
        <c:auto val="1"/>
        <c:lblAlgn val="ctr"/>
        <c:lblOffset val="100"/>
        <c:noMultiLvlLbl val="0"/>
      </c:catAx>
      <c:valAx>
        <c:axId val="508715856"/>
        <c:scaling>
          <c:orientation val="minMax"/>
        </c:scaling>
        <c:delete val="0"/>
        <c:axPos val="l"/>
        <c:majorGridlines/>
        <c:minorGridlines>
          <c:spPr>
            <a:ln>
              <a:noFill/>
            </a:ln>
          </c:spPr>
        </c:minorGridlines>
        <c:numFmt formatCode="General" sourceLinked="1"/>
        <c:majorTickMark val="out"/>
        <c:minorTickMark val="none"/>
        <c:tickLblPos val="nextTo"/>
        <c:txPr>
          <a:bodyPr/>
          <a:lstStyle/>
          <a:p>
            <a:pPr>
              <a:defRPr sz="800" baseline="0"/>
            </a:pPr>
            <a:endParaRPr lang="zh-CN"/>
          </a:p>
        </c:txPr>
        <c:crossAx val="508715296"/>
        <c:crosses val="autoZero"/>
        <c:crossBetween val="between"/>
      </c:valAx>
    </c:plotArea>
    <c:legend>
      <c:legendPos val="r"/>
      <c:layout>
        <c:manualLayout>
          <c:xMode val="edge"/>
          <c:yMode val="edge"/>
          <c:x val="0.84074257727666868"/>
          <c:y val="0.37994142767462158"/>
          <c:w val="0.14531948254843377"/>
          <c:h val="0.22253234916967821"/>
        </c:manualLayout>
      </c:layout>
      <c:overlay val="0"/>
      <c:txPr>
        <a:bodyPr/>
        <a:lstStyle/>
        <a:p>
          <a:pPr>
            <a:defRPr sz="800" baseline="0"/>
          </a:pPr>
          <a:endParaRPr lang="zh-CN"/>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80936434669795"/>
          <c:y val="0.1000086587114755"/>
          <c:w val="0.70992511416995263"/>
          <c:h val="0.76306139567605591"/>
        </c:manualLayout>
      </c:layout>
      <c:barChart>
        <c:barDir val="col"/>
        <c:grouping val="clustered"/>
        <c:varyColors val="0"/>
        <c:ser>
          <c:idx val="0"/>
          <c:order val="0"/>
          <c:tx>
            <c:strRef>
              <c:f>'附表3-2010-2014年经费统计'!$F$44</c:f>
              <c:strCache>
                <c:ptCount val="1"/>
                <c:pt idx="0">
                  <c:v>平均电子资源占比（%）</c:v>
                </c:pt>
              </c:strCache>
            </c:strRef>
          </c:tx>
          <c:invertIfNegative val="0"/>
          <c:dLbls>
            <c:spPr>
              <a:noFill/>
              <a:ln>
                <a:noFill/>
              </a:ln>
              <a:effectLst/>
            </c:spPr>
            <c:txPr>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'附表3-2010-2014年经费统计'!$E$45:$E$49</c:f>
              <c:strCache>
                <c:ptCount val="5"/>
                <c:pt idx="0">
                  <c:v>2010年</c:v>
                </c:pt>
                <c:pt idx="1">
                  <c:v>2011年</c:v>
                </c:pt>
                <c:pt idx="2">
                  <c:v>2012年</c:v>
                </c:pt>
                <c:pt idx="3">
                  <c:v>2013年</c:v>
                </c:pt>
                <c:pt idx="4">
                  <c:v>2014年</c:v>
                </c:pt>
              </c:strCache>
            </c:strRef>
          </c:cat>
          <c:val>
            <c:numRef>
              <c:f>'附表3-2010-2014年经费统计'!$F$45:$F$49</c:f>
              <c:numCache>
                <c:formatCode>0.00%</c:formatCode>
                <c:ptCount val="5"/>
                <c:pt idx="0">
                  <c:v>0.35910000000000031</c:v>
                </c:pt>
                <c:pt idx="1">
                  <c:v>0.39070000000000032</c:v>
                </c:pt>
                <c:pt idx="2">
                  <c:v>0.47390000000000032</c:v>
                </c:pt>
                <c:pt idx="3">
                  <c:v>0.42480000000000423</c:v>
                </c:pt>
                <c:pt idx="4">
                  <c:v>0.46600000000000008</c:v>
                </c:pt>
              </c:numCache>
            </c:numRef>
          </c:val>
        </c:ser>
        <c:dLbls>
          <c:showLegendKey val="0"/>
          <c:showVal val="0"/>
          <c:showCatName val="0"/>
          <c:showSerName val="0"/>
          <c:showPercent val="0"/>
          <c:showBubbleSize val="0"/>
        </c:dLbls>
        <c:gapWidth val="150"/>
        <c:axId val="508718096"/>
        <c:axId val="508718656"/>
      </c:barChart>
      <c:catAx>
        <c:axId val="508718096"/>
        <c:scaling>
          <c:orientation val="minMax"/>
        </c:scaling>
        <c:delete val="0"/>
        <c:axPos val="b"/>
        <c:numFmt formatCode="General" sourceLinked="0"/>
        <c:majorTickMark val="out"/>
        <c:minorTickMark val="none"/>
        <c:tickLblPos val="nextTo"/>
        <c:txPr>
          <a:bodyPr/>
          <a:lstStyle/>
          <a:p>
            <a:pPr>
              <a:defRPr sz="800" baseline="0"/>
            </a:pPr>
            <a:endParaRPr lang="zh-CN"/>
          </a:p>
        </c:txPr>
        <c:crossAx val="508718656"/>
        <c:crosses val="autoZero"/>
        <c:auto val="1"/>
        <c:lblAlgn val="ctr"/>
        <c:lblOffset val="100"/>
        <c:noMultiLvlLbl val="0"/>
      </c:catAx>
      <c:valAx>
        <c:axId val="508718656"/>
        <c:scaling>
          <c:orientation val="minMax"/>
        </c:scaling>
        <c:delete val="0"/>
        <c:axPos val="l"/>
        <c:majorGridlines/>
        <c:numFmt formatCode="0.00%" sourceLinked="1"/>
        <c:majorTickMark val="out"/>
        <c:minorTickMark val="none"/>
        <c:tickLblPos val="nextTo"/>
        <c:txPr>
          <a:bodyPr/>
          <a:lstStyle/>
          <a:p>
            <a:pPr>
              <a:defRPr sz="800" baseline="0"/>
            </a:pPr>
            <a:endParaRPr lang="zh-CN"/>
          </a:p>
        </c:txPr>
        <c:crossAx val="508718096"/>
        <c:crosses val="autoZero"/>
        <c:crossBetween val="between"/>
      </c:valAx>
    </c:plotArea>
    <c:legend>
      <c:legendPos val="r"/>
      <c:legendEntry>
        <c:idx val="0"/>
        <c:txPr>
          <a:bodyPr/>
          <a:lstStyle/>
          <a:p>
            <a:pPr>
              <a:defRPr sz="800" baseline="0"/>
            </a:pPr>
            <a:endParaRPr lang="zh-CN"/>
          </a:p>
        </c:txPr>
      </c:legendEntry>
      <c:layout>
        <c:manualLayout>
          <c:xMode val="edge"/>
          <c:yMode val="edge"/>
          <c:x val="0.82926056656711022"/>
          <c:y val="0.37614606163920977"/>
          <c:w val="0.1554009254331114"/>
          <c:h val="0.13774197039803021"/>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060995954362823E-2"/>
          <c:y val="5.0032467417262021E-2"/>
          <c:w val="0.71643578964489474"/>
          <c:h val="0.639689157729043"/>
        </c:manualLayout>
      </c:layout>
      <c:barChart>
        <c:barDir val="col"/>
        <c:grouping val="clustered"/>
        <c:varyColors val="0"/>
        <c:ser>
          <c:idx val="0"/>
          <c:order val="0"/>
          <c:tx>
            <c:strRef>
              <c:f>'Usage Summary 2014-15'!$I$1</c:f>
              <c:strCache>
                <c:ptCount val="1"/>
                <c:pt idx="0">
                  <c:v>Sum of Requests</c:v>
                </c:pt>
              </c:strCache>
            </c:strRef>
          </c:tx>
          <c:invertIfNegative val="0"/>
          <c:dLbls>
            <c:spPr>
              <a:noFill/>
              <a:ln>
                <a:noFill/>
              </a:ln>
              <a:effectLst/>
            </c:spPr>
            <c:txPr>
              <a:bodyPr/>
              <a:lstStyle/>
              <a:p>
                <a:pPr>
                  <a:defRPr sz="800" baseline="0"/>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'Usage Summary 2014-15'!$H$2:$H$13</c:f>
              <c:strCache>
                <c:ptCount val="12"/>
                <c:pt idx="0">
                  <c:v>北京大学</c:v>
                </c:pt>
                <c:pt idx="1">
                  <c:v>东南大学</c:v>
                </c:pt>
                <c:pt idx="2">
                  <c:v>复旦大学</c:v>
                </c:pt>
                <c:pt idx="3">
                  <c:v>华南理工大学</c:v>
                </c:pt>
                <c:pt idx="4">
                  <c:v>吉林大学</c:v>
                </c:pt>
                <c:pt idx="5">
                  <c:v>南京大学</c:v>
                </c:pt>
                <c:pt idx="6">
                  <c:v>南开大学</c:v>
                </c:pt>
                <c:pt idx="7">
                  <c:v>清华大学</c:v>
                </c:pt>
                <c:pt idx="8">
                  <c:v>武汉大学</c:v>
                </c:pt>
                <c:pt idx="9">
                  <c:v>西安交通大学</c:v>
                </c:pt>
                <c:pt idx="10">
                  <c:v>中国农业大学</c:v>
                </c:pt>
                <c:pt idx="11">
                  <c:v>重庆大学</c:v>
                </c:pt>
              </c:strCache>
            </c:strRef>
          </c:cat>
          <c:val>
            <c:numRef>
              <c:f>'Usage Summary 2014-15'!$I$2:$I$13</c:f>
              <c:numCache>
                <c:formatCode>General</c:formatCode>
                <c:ptCount val="12"/>
                <c:pt idx="0">
                  <c:v>299</c:v>
                </c:pt>
                <c:pt idx="1">
                  <c:v>60</c:v>
                </c:pt>
                <c:pt idx="2">
                  <c:v>18</c:v>
                </c:pt>
                <c:pt idx="3">
                  <c:v>25</c:v>
                </c:pt>
                <c:pt idx="4">
                  <c:v>1</c:v>
                </c:pt>
                <c:pt idx="5">
                  <c:v>64</c:v>
                </c:pt>
                <c:pt idx="6">
                  <c:v>3</c:v>
                </c:pt>
                <c:pt idx="7">
                  <c:v>72</c:v>
                </c:pt>
                <c:pt idx="8">
                  <c:v>228</c:v>
                </c:pt>
                <c:pt idx="9">
                  <c:v>34</c:v>
                </c:pt>
                <c:pt idx="10">
                  <c:v>71</c:v>
                </c:pt>
                <c:pt idx="11">
                  <c:v>15</c:v>
                </c:pt>
              </c:numCache>
            </c:numRef>
          </c:val>
        </c:ser>
        <c:dLbls>
          <c:showLegendKey val="0"/>
          <c:showVal val="0"/>
          <c:showCatName val="0"/>
          <c:showSerName val="0"/>
          <c:showPercent val="0"/>
          <c:showBubbleSize val="0"/>
        </c:dLbls>
        <c:gapWidth val="150"/>
        <c:axId val="508720896"/>
        <c:axId val="508721456"/>
      </c:barChart>
      <c:catAx>
        <c:axId val="508720896"/>
        <c:scaling>
          <c:orientation val="minMax"/>
        </c:scaling>
        <c:delete val="0"/>
        <c:axPos val="b"/>
        <c:numFmt formatCode="General" sourceLinked="0"/>
        <c:majorTickMark val="out"/>
        <c:minorTickMark val="none"/>
        <c:tickLblPos val="nextTo"/>
        <c:txPr>
          <a:bodyPr/>
          <a:lstStyle/>
          <a:p>
            <a:pPr>
              <a:defRPr sz="800" baseline="0"/>
            </a:pPr>
            <a:endParaRPr lang="zh-CN"/>
          </a:p>
        </c:txPr>
        <c:crossAx val="508721456"/>
        <c:crosses val="autoZero"/>
        <c:auto val="1"/>
        <c:lblAlgn val="ctr"/>
        <c:lblOffset val="100"/>
        <c:noMultiLvlLbl val="0"/>
      </c:catAx>
      <c:valAx>
        <c:axId val="508721456"/>
        <c:scaling>
          <c:orientation val="minMax"/>
        </c:scaling>
        <c:delete val="0"/>
        <c:axPos val="l"/>
        <c:majorGridlines/>
        <c:numFmt formatCode="General" sourceLinked="1"/>
        <c:majorTickMark val="out"/>
        <c:minorTickMark val="none"/>
        <c:tickLblPos val="nextTo"/>
        <c:txPr>
          <a:bodyPr/>
          <a:lstStyle/>
          <a:p>
            <a:pPr>
              <a:defRPr sz="800" baseline="0"/>
            </a:pPr>
            <a:endParaRPr lang="zh-CN"/>
          </a:p>
        </c:txPr>
        <c:crossAx val="508720896"/>
        <c:crosses val="autoZero"/>
        <c:crossBetween val="between"/>
      </c:valAx>
    </c:plotArea>
    <c:legend>
      <c:legendPos val="r"/>
      <c:overlay val="0"/>
      <c:txPr>
        <a:bodyPr/>
        <a:lstStyle/>
        <a:p>
          <a:pPr>
            <a:defRPr sz="800" baseline="0"/>
          </a:pPr>
          <a:endParaRPr lang="zh-CN"/>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690576626886892E-2"/>
          <c:y val="9.4882159781176534E-2"/>
          <c:w val="0.74664382639625615"/>
          <c:h val="0.60035150291903494"/>
        </c:manualLayout>
      </c:layout>
      <c:barChart>
        <c:barDir val="col"/>
        <c:grouping val="clustered"/>
        <c:varyColors val="0"/>
        <c:ser>
          <c:idx val="0"/>
          <c:order val="0"/>
          <c:tx>
            <c:strRef>
              <c:f>'Usage Summary 2014-15'!$F$1</c:f>
              <c:strCache>
                <c:ptCount val="1"/>
                <c:pt idx="0">
                  <c:v>Sum of Requests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'Usage Summary 2014-15'!$E$2:$E$19</c:f>
              <c:strCache>
                <c:ptCount val="18"/>
                <c:pt idx="0">
                  <c:v>北京农学院</c:v>
                </c:pt>
                <c:pt idx="1">
                  <c:v>东北农业大学</c:v>
                </c:pt>
                <c:pt idx="2">
                  <c:v>甘肃农业大学</c:v>
                </c:pt>
                <c:pt idx="3">
                  <c:v>海南大学</c:v>
                </c:pt>
                <c:pt idx="4">
                  <c:v>河北农业大学</c:v>
                </c:pt>
                <c:pt idx="5">
                  <c:v>华南农业大学</c:v>
                </c:pt>
                <c:pt idx="6">
                  <c:v>华中农业大学</c:v>
                </c:pt>
                <c:pt idx="7">
                  <c:v>南京农业大学</c:v>
                </c:pt>
                <c:pt idx="8">
                  <c:v>内蒙古农业大学</c:v>
                </c:pt>
                <c:pt idx="9">
                  <c:v>青岛农业大学</c:v>
                </c:pt>
                <c:pt idx="10">
                  <c:v>山东农业大学</c:v>
                </c:pt>
                <c:pt idx="11">
                  <c:v>沈阳农业大学</c:v>
                </c:pt>
                <c:pt idx="12">
                  <c:v>西北农林科技大学</c:v>
                </c:pt>
                <c:pt idx="13">
                  <c:v>西南大学</c:v>
                </c:pt>
                <c:pt idx="14">
                  <c:v>西南林业大学</c:v>
                </c:pt>
                <c:pt idx="15">
                  <c:v>扬州大学</c:v>
                </c:pt>
                <c:pt idx="16">
                  <c:v>浙江大学</c:v>
                </c:pt>
                <c:pt idx="17">
                  <c:v>仲恺农业工程学院</c:v>
                </c:pt>
              </c:strCache>
            </c:strRef>
          </c:cat>
          <c:val>
            <c:numRef>
              <c:f>'Usage Summary 2014-15'!$F$2:$F$19</c:f>
              <c:numCache>
                <c:formatCode>General</c:formatCode>
                <c:ptCount val="18"/>
                <c:pt idx="0">
                  <c:v>21</c:v>
                </c:pt>
                <c:pt idx="1">
                  <c:v>24</c:v>
                </c:pt>
                <c:pt idx="2">
                  <c:v>146</c:v>
                </c:pt>
                <c:pt idx="3">
                  <c:v>24</c:v>
                </c:pt>
                <c:pt idx="4">
                  <c:v>114</c:v>
                </c:pt>
                <c:pt idx="5">
                  <c:v>25</c:v>
                </c:pt>
                <c:pt idx="6">
                  <c:v>100</c:v>
                </c:pt>
                <c:pt idx="7">
                  <c:v>73</c:v>
                </c:pt>
                <c:pt idx="8">
                  <c:v>174</c:v>
                </c:pt>
                <c:pt idx="9">
                  <c:v>4</c:v>
                </c:pt>
                <c:pt idx="10">
                  <c:v>98</c:v>
                </c:pt>
                <c:pt idx="11">
                  <c:v>46</c:v>
                </c:pt>
                <c:pt idx="12">
                  <c:v>17</c:v>
                </c:pt>
                <c:pt idx="13">
                  <c:v>22</c:v>
                </c:pt>
                <c:pt idx="14">
                  <c:v>5</c:v>
                </c:pt>
                <c:pt idx="15">
                  <c:v>6</c:v>
                </c:pt>
                <c:pt idx="16">
                  <c:v>57</c:v>
                </c:pt>
                <c:pt idx="17">
                  <c:v>28</c:v>
                </c:pt>
              </c:numCache>
            </c:numRef>
          </c:val>
        </c:ser>
        <c:dLbls>
          <c:showLegendKey val="0"/>
          <c:showVal val="0"/>
          <c:showCatName val="0"/>
          <c:showSerName val="0"/>
          <c:showPercent val="0"/>
          <c:showBubbleSize val="0"/>
        </c:dLbls>
        <c:gapWidth val="150"/>
        <c:axId val="508723696"/>
        <c:axId val="508724256"/>
      </c:barChart>
      <c:catAx>
        <c:axId val="508723696"/>
        <c:scaling>
          <c:orientation val="minMax"/>
        </c:scaling>
        <c:delete val="0"/>
        <c:axPos val="b"/>
        <c:numFmt formatCode="General" sourceLinked="0"/>
        <c:majorTickMark val="out"/>
        <c:minorTickMark val="none"/>
        <c:tickLblPos val="nextTo"/>
        <c:txPr>
          <a:bodyPr/>
          <a:lstStyle/>
          <a:p>
            <a:pPr>
              <a:defRPr sz="800" baseline="0"/>
            </a:pPr>
            <a:endParaRPr lang="zh-CN"/>
          </a:p>
        </c:txPr>
        <c:crossAx val="508724256"/>
        <c:crosses val="autoZero"/>
        <c:auto val="1"/>
        <c:lblAlgn val="ctr"/>
        <c:lblOffset val="100"/>
        <c:noMultiLvlLbl val="0"/>
      </c:catAx>
      <c:valAx>
        <c:axId val="508724256"/>
        <c:scaling>
          <c:orientation val="minMax"/>
        </c:scaling>
        <c:delete val="0"/>
        <c:axPos val="l"/>
        <c:majorGridlines/>
        <c:numFmt formatCode="General" sourceLinked="1"/>
        <c:majorTickMark val="out"/>
        <c:minorTickMark val="none"/>
        <c:tickLblPos val="nextTo"/>
        <c:txPr>
          <a:bodyPr/>
          <a:lstStyle/>
          <a:p>
            <a:pPr>
              <a:defRPr sz="800" baseline="0"/>
            </a:pPr>
            <a:endParaRPr lang="zh-CN"/>
          </a:p>
        </c:txPr>
        <c:crossAx val="508723696"/>
        <c:crosses val="autoZero"/>
        <c:crossBetween val="between"/>
      </c:valAx>
    </c:plotArea>
    <c:legend>
      <c:legendPos val="r"/>
      <c:legendEntry>
        <c:idx val="0"/>
        <c:txPr>
          <a:bodyPr/>
          <a:lstStyle/>
          <a:p>
            <a:pPr>
              <a:defRPr sz="800" baseline="0"/>
            </a:pPr>
            <a:endParaRPr lang="zh-CN"/>
          </a:p>
        </c:txPr>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1503-387A-4595-8271-3A5FA58B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6454</TotalTime>
  <Pages>1</Pages>
  <Words>6291</Words>
  <Characters>35860</Characters>
  <Application>Microsoft Office Word</Application>
  <DocSecurity>0</DocSecurity>
  <Lines>298</Lines>
  <Paragraphs>84</Paragraphs>
  <ScaleCrop>false</ScaleCrop>
  <Company/>
  <LinksUpToDate>false</LinksUpToDate>
  <CharactersWithSpaces>42067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xuwei</cp:lastModifiedBy>
  <cp:revision>211</cp:revision>
  <cp:lastPrinted>2016-05-03T02:16:00Z</cp:lastPrinted>
  <dcterms:created xsi:type="dcterms:W3CDTF">2016-03-01T07:39:00Z</dcterms:created>
  <dcterms:modified xsi:type="dcterms:W3CDTF">2018-05-30T00:23:00Z</dcterms:modified>
</cp:coreProperties>
</file>